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83636DC" Type="http://schemas.openxmlformats.org/package/2006/relationships/metadata/core-properties" Target="docProps/core.xml"/><Relationship Id="rId1" Type="http://schemas.openxmlformats.org/officeDocument/2006/relationships/custom-properties" Target="docProps/custom.xml"/><Relationship Id="R22A853EF"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143" w:line="259" w:lineRule="auto"/>
        <w:ind w:right="4"/>
        <w:jc w:val="center"/>
      </w:pPr>
      <w:r>
        <w:rPr>
          <w:rFonts w:cs="Calibri" w:hAnsi="Calibri" w:eastAsia="Calibri" w:ascii="Calibri"/>
          <w:b w:val="1"/>
          <w:sz w:val="22"/>
        </w:rPr>
        <w:t xml:space="preserve">Progress Report</w:t>
      </w:r>
      <w:r>
        <w:rPr>
          <w:rFonts w:cs="Calibri" w:hAnsi="Calibri" w:eastAsia="Calibri" w:ascii="Calibri"/>
          <w:b w:val="1"/>
          <w:sz w:val="22"/>
        </w:rPr>
        <w:t xml:space="preserve">- </w:t>
      </w:r>
      <w:r>
        <w:rPr>
          <w:rFonts w:cs="Calibri" w:hAnsi="Calibri" w:eastAsia="Calibri" w:ascii="Calibri"/>
          <w:b w:val="1"/>
          <w:sz w:val="22"/>
        </w:rPr>
        <w:t xml:space="preserve">2015 </w:t>
      </w:r>
      <w:r>
        <w:rPr>
          <w:rFonts w:cs="Calibri" w:hAnsi="Calibri" w:eastAsia="Calibri" w:ascii="Calibri"/>
          <w:b w:val="1"/>
          <w:sz w:val="22"/>
        </w:rPr>
        <w:t xml:space="preserve"> </w:t>
      </w:r>
    </w:p>
    <w:p>
      <w:pPr>
        <w:spacing w:before="0" w:after="143" w:line="259" w:lineRule="auto"/>
        <w:ind w:right="4"/>
        <w:jc w:val="center"/>
      </w:pPr>
      <w:r>
        <w:rPr>
          <w:rFonts w:cs="Calibri" w:hAnsi="Calibri" w:eastAsia="Calibri" w:ascii="Calibri"/>
          <w:b w:val="1"/>
          <w:sz w:val="22"/>
        </w:rPr>
        <w:t xml:space="preserve">Strengthening the Governance of Extractive Industries for Sustainable Human Development</w:t>
      </w:r>
      <w:r>
        <w:rPr>
          <w:rFonts w:cs="Calibri" w:hAnsi="Calibri" w:eastAsia="Calibri" w:ascii="Calibri"/>
          <w:b w:val="1"/>
          <w:sz w:val="22"/>
        </w:rPr>
        <w:t xml:space="preserve"> </w:t>
      </w:r>
    </w:p>
    <w:p>
      <w:pPr>
        <w:pStyle w:val="normal"/>
        <w:spacing w:before="0" w:after="111" w:line="249" w:lineRule="auto"/>
        <w:ind w:left="-5" w:right="0"/>
      </w:pPr>
      <w:r>
        <w:rPr>
          <w:rFonts w:cs="Calibri" w:hAnsi="Calibri" w:eastAsia="Calibri" w:ascii="Calibri"/>
          <w:b w:val="1"/>
          <w:i w:val="1"/>
          <w:color w:val="8496b0"/>
        </w:rPr>
        <w:t xml:space="preserve">Background</w:t>
      </w:r>
      <w:r>
        <w:rPr>
          <w:color w:val="8496b0"/>
        </w:rPr>
        <w:t xml:space="preserve">: </w:t>
      </w:r>
      <w:r>
        <w:rPr/>
        <w:t xml:space="preserve">The EI</w:t>
      </w:r>
      <w:r>
        <w:rPr/>
        <w:t xml:space="preserve"> </w:t>
      </w:r>
      <w:r>
        <w:rPr/>
        <w:t xml:space="preserve">sector is a vital sector in Asia and the Pacific. Countries in the region are among the largest producers and consumers of fossil fuels and mineral resources in the world. The region accounts for nearly half of the global production and consumption of oil</w:t>
      </w:r>
      <w:r>
        <w:rPr/>
        <w:t xml:space="preserve"> </w:t>
      </w:r>
      <w:r>
        <w:rPr/>
        <w:t xml:space="preserve">and gas, and around 70 percent of mineral products such as coal, copper, iron, nickel and zinc. Although the EI sector is vital for modern economies, the very nature of extraction is environmental destructive. Further, lack of</w:t>
      </w:r>
      <w:r>
        <w:rPr/>
        <w:t xml:space="preserve"> </w:t>
      </w:r>
      <w:r>
        <w:rPr/>
        <w:t xml:space="preserve">a strong governance framework of</w:t>
      </w:r>
      <w:r>
        <w:rPr/>
        <w:t xml:space="preserve"> </w:t>
      </w:r>
      <w:r>
        <w:rPr/>
        <w:t xml:space="preserve">the EI sector can exacerbates existing challenges that have broad repercussions on the overall governance, inclusive economic development, environment protection,</w:t>
      </w:r>
      <w:r>
        <w:rPr/>
        <w:t xml:space="preserve"> </w:t>
      </w:r>
      <w:r>
        <w:rPr/>
        <w:t xml:space="preserve">human rights,</w:t>
      </w:r>
      <w:r>
        <w:rPr/>
        <w:t xml:space="preserve"> </w:t>
      </w:r>
      <w:r>
        <w:rPr/>
        <w:t xml:space="preserve">conflict, and gender equality</w:t>
      </w:r>
      <w:r>
        <w:rPr/>
        <w:t xml:space="preserve"> </w:t>
      </w:r>
      <w:r>
        <w:rPr/>
        <w:t xml:space="preserve">in the region</w:t>
      </w:r>
      <w:r>
        <w:rPr/>
        <w:t xml:space="preserve">. </w:t>
      </w:r>
      <w:r>
        <w:rPr/>
        <w:t xml:space="preserve"> </w:t>
      </w:r>
    </w:p>
    <w:p>
      <w:pPr>
        <w:pStyle w:val="normal"/>
        <w:spacing w:before="0" w:after="111" w:line="249" w:lineRule="auto"/>
        <w:ind w:left="-5" w:right="0"/>
      </w:pPr>
      <w:r>
        <w:rPr/>
        <w:t xml:space="preserve">To address the multiple challenges posed by the EI sector, the Regional Programme Document for Asia and the Pacific, 2014</w:t>
      </w:r>
      <w:r>
        <w:rPr/>
        <w:t xml:space="preserve">-</w:t>
      </w:r>
      <w:r>
        <w:rPr/>
        <w:t xml:space="preserve">2017, of UNDP’s Bangkok Regional Hub (BRH)</w:t>
      </w:r>
      <w:r>
        <w:rPr/>
        <w:t xml:space="preserve"> </w:t>
      </w:r>
      <w:r>
        <w:rPr/>
        <w:t xml:space="preserve">in line with the UNDP’s Strategic Plan (2014</w:t>
      </w:r>
      <w:r>
        <w:rPr/>
        <w:t xml:space="preserve">-</w:t>
      </w:r>
      <w:r>
        <w:rPr/>
        <w:t xml:space="preserve">2017)</w:t>
      </w:r>
      <w:r>
        <w:rPr/>
        <w:t xml:space="preserve">, and the 2012 global strategy on Supporting Sustainable and Equitable Management of the Extractive Sector, calls for a multidimensional and interdisciplinary approach to address multiple challenges of the EI sector</w:t>
      </w:r>
      <w:r>
        <w:rPr/>
        <w:t xml:space="preserve"> </w:t>
      </w:r>
      <w:r>
        <w:rPr/>
        <w:t xml:space="preserve">in Asia</w:t>
      </w:r>
      <w:r>
        <w:rPr/>
        <w:t xml:space="preserve">-</w:t>
      </w:r>
      <w:r>
        <w:rPr/>
        <w:t xml:space="preserve">Pacific.  </w:t>
      </w:r>
      <w:r>
        <w:rPr/>
        <w:t xml:space="preserve"> </w:t>
      </w:r>
    </w:p>
    <w:p>
      <w:pPr>
        <w:pStyle w:val="normal"/>
        <w:spacing w:before="0" w:after="157" w:line="249" w:lineRule="auto"/>
        <w:ind w:left="-5" w:right="0"/>
      </w:pPr>
      <w:r>
        <w:rPr/>
        <w:t xml:space="preserve">Towards this end, BRH has established a multi</w:t>
      </w:r>
      <w:r>
        <w:rPr/>
        <w:t xml:space="preserve">-</w:t>
      </w:r>
      <w:r>
        <w:rPr/>
        <w:t xml:space="preserve">disciplinary development solutions team (DST) to bring together its different practice areas to provide integrated support to countries in the region. BRH</w:t>
      </w:r>
      <w:r>
        <w:rPr/>
        <w:t xml:space="preserve"> </w:t>
      </w:r>
      <w:r>
        <w:rPr/>
        <w:t xml:space="preserve">focus on addressing the multi</w:t>
      </w:r>
      <w:r>
        <w:rPr/>
        <w:t xml:space="preserve"/>
      </w:r>
      <w:r>
        <w:rPr/>
        <w:t xml:space="preserve">dimensional challenges associated with EI sector from five perspectives: </w:t>
      </w:r>
      <w:r>
        <w:rPr/>
        <w:t xml:space="preserve"> </w:t>
      </w:r>
    </w:p>
    <w:p>
      <w:pPr>
        <w:pStyle w:val="normal"/>
        <w:numPr>
          <w:ilvl w:val="0"/>
          <w:numId w:val="1"/>
        </w:numPr>
        <w:spacing w:before="0" w:after="37" w:line="249" w:lineRule="auto"/>
        <w:ind w:left="720" w:right="0" w:hanging="360"/>
      </w:pPr>
      <w:r>
        <w:rPr/>
        <w:t xml:space="preserve">Governance [legal and institutional framework, capacities for implementation of laws, policies and programmes, HRs (indigenous people), anti</w:t>
      </w:r>
      <w:r>
        <w:rPr/>
        <w:t xml:space="preserve">-</w:t>
      </w:r>
      <w:r>
        <w:rPr/>
        <w:t xml:space="preserve">corruption and oversight, civic engagement]</w:t>
      </w:r>
      <w:r>
        <w:rPr/>
        <w:t xml:space="preserve"> </w:t>
      </w:r>
    </w:p>
    <w:p>
      <w:pPr>
        <w:pStyle w:val="normal"/>
        <w:numPr>
          <w:ilvl w:val="0"/>
          <w:numId w:val="1"/>
        </w:numPr>
        <w:spacing w:before="0" w:after="37" w:line="249" w:lineRule="auto"/>
        <w:ind w:left="720" w:right="0" w:hanging="360"/>
      </w:pPr>
      <w:r>
        <w:rPr/>
        <w:t xml:space="preserve">Social and economic policies [regulations i.e. licensing etc., revenue management, green economy, distribution of revenues for social services, employment policies, CSR, etc.,]</w:t>
      </w:r>
      <w:r>
        <w:rPr/>
        <w:t xml:space="preserve"> </w:t>
      </w:r>
    </w:p>
    <w:p>
      <w:pPr>
        <w:pStyle w:val="normal"/>
        <w:numPr>
          <w:ilvl w:val="0"/>
          <w:numId w:val="1"/>
        </w:numPr>
        <w:spacing w:before="0" w:after="37" w:line="249" w:lineRule="auto"/>
        <w:ind w:left="720" w:right="0" w:hanging="360"/>
      </w:pPr>
      <w:r>
        <w:rPr/>
        <w:t xml:space="preserve">Environment [sustainable land and water management, pollution control, restoration of degraded land, climate change mitigation and adaptation, access to energy]</w:t>
      </w:r>
      <w:r>
        <w:rPr/>
        <w:t xml:space="preserve"> </w:t>
      </w:r>
    </w:p>
    <w:p>
      <w:pPr>
        <w:pStyle w:val="normal"/>
        <w:numPr>
          <w:ilvl w:val="0"/>
          <w:numId w:val="1"/>
        </w:numPr>
        <w:spacing w:before="0" w:after="34" w:line="249" w:lineRule="auto"/>
        <w:ind w:left="720" w:right="0" w:hanging="360"/>
      </w:pPr>
      <w:r>
        <w:rPr/>
        <w:t xml:space="preserve">Conflict [Exclusion of local communities and stakeholders from decision making, contested land rights(traditional/communal rights vs. state decision to allocate land for mining), inadequate benefit sharing, unwillingness to address EI sector in peace processes]</w:t>
      </w:r>
      <w:r>
        <w:rPr/>
        <w:t xml:space="preserve"> </w:t>
      </w:r>
    </w:p>
    <w:p>
      <w:pPr>
        <w:pStyle w:val="normal"/>
        <w:numPr>
          <w:ilvl w:val="0"/>
          <w:numId w:val="1"/>
        </w:numPr>
        <w:spacing w:before="0" w:after="85" w:line="249" w:lineRule="auto"/>
        <w:ind w:left="720" w:right="0" w:hanging="360"/>
      </w:pPr>
      <w:r>
        <w:rPr/>
        <w:t xml:space="preserve">Gender [women’s political and economic participation, gender based violence]</w:t>
      </w:r>
      <w:r>
        <w:rPr/>
        <w:t xml:space="preserve"> </w:t>
      </w:r>
    </w:p>
    <w:p>
      <w:pPr>
        <w:pStyle w:val="normal"/>
        <w:spacing w:before="0" w:after="111" w:line="249" w:lineRule="auto"/>
        <w:ind w:left="-5" w:right="0"/>
      </w:pPr>
      <w:r>
        <w:rPr/>
        <w:t xml:space="preserve">The </w:t>
      </w:r>
      <w:r>
        <w:rPr>
          <w:rFonts w:cs="Calibri" w:hAnsi="Calibri" w:eastAsia="Calibri" w:ascii="Calibri"/>
          <w:b w:val="1"/>
        </w:rPr>
        <w:t xml:space="preserve">Strengthening Governance of Extractive Industries for Sustainable Human Development</w:t>
      </w:r>
      <w:r>
        <w:rPr>
          <w:rFonts w:cs="Calibri" w:hAnsi="Calibri" w:eastAsia="Calibri" w:ascii="Calibri"/>
          <w:b w:val="1"/>
        </w:rPr>
        <w:t xml:space="preserve"> </w:t>
      </w:r>
      <w:r>
        <w:rPr/>
        <w:t xml:space="preserve">project funded by BCPR (now BPPS) was initially designed to fund preparatory activities for a larger regional programme.  The project was further extended till end of 2016. </w:t>
      </w:r>
      <w:r>
        <w:rPr/>
        <w:t xml:space="preserve"> </w:t>
      </w:r>
    </w:p>
    <w:p>
      <w:pPr>
        <w:pStyle w:val="normal"/>
        <w:spacing w:before="0" w:after="111" w:line="249" w:lineRule="auto"/>
        <w:ind w:left="-5" w:right="0"/>
      </w:pPr>
      <w:r>
        <w:rPr>
          <w:rFonts w:cs="Calibri" w:hAnsi="Calibri" w:eastAsia="Calibri" w:ascii="Calibri"/>
          <w:b w:val="1"/>
          <w:i w:val="1"/>
          <w:color w:val="8496b0"/>
        </w:rPr>
        <w:t xml:space="preserve">Progress made:</w:t>
      </w:r>
      <w:r>
        <w:rPr/>
        <w:t xml:space="preserve">  </w:t>
      </w:r>
      <w:r>
        <w:rPr/>
        <w:t xml:space="preserve">the EI for sustainable development (EI4SD) is an emerging area of work for UNDP BRH. Countries in the region are increasingly recognizing the importance of addressing the various challenges of the EI sector to improve overall governance, reduce the negative social and environmental impact, and ensure that the revenues are used to provide basic services to the public.  </w:t>
      </w:r>
      <w:r>
        <w:rPr/>
        <w:t xml:space="preserve"> </w:t>
      </w:r>
      <w:r>
        <w:rPr/>
        <w:t xml:space="preserve">However, countries are also grappling to develop new ways and means to address the multiple challenges of the EI sector. </w:t>
      </w:r>
      <w:r>
        <w:rPr/>
        <w:t xml:space="preserve"> </w:t>
      </w:r>
    </w:p>
    <w:p>
      <w:pPr>
        <w:pStyle w:val="normal"/>
        <w:spacing w:before="0" w:after="111" w:line="249" w:lineRule="auto"/>
        <w:ind w:left="-5" w:right="0"/>
      </w:pPr>
      <w:r>
        <w:rPr/>
        <w:t xml:space="preserve">Activities were implemented in four countries (Indonesia, Mongolia, Pakistan and the Philippines). Table one shows progress made so far and the activities planned for 2016.  </w:t>
      </w:r>
      <w:r>
        <w:rPr/>
        <w:t xml:space="preserve"> </w:t>
      </w:r>
    </w:p>
    <w:p>
      <w:pPr>
        <w:pStyle w:val="normal"/>
        <w:spacing w:before="0" w:after="111" w:line="249" w:lineRule="auto"/>
        <w:ind w:left="-5" w:right="0"/>
      </w:pPr>
      <w:r>
        <w:rPr/>
        <w:t xml:space="preserve">BRH also developed a regional programme document on EI4SD, which is yet to be funded. </w:t>
      </w:r>
      <w:r>
        <w:rPr/>
        <w:t xml:space="preserve"> </w:t>
      </w:r>
    </w:p>
    <w:p>
      <w:pPr>
        <w:pStyle w:val="normal"/>
        <w:spacing w:before="0" w:after="111" w:line="249" w:lineRule="auto"/>
        <w:ind w:left="-5" w:right="0"/>
      </w:pPr>
      <w:r>
        <w:rPr/>
        <w:t xml:space="preserve">Table two provides the expenditure report for 2014</w:t>
      </w:r>
      <w:r>
        <w:rPr/>
        <w:t xml:space="preserve">-</w:t>
      </w:r>
      <w:r>
        <w:rPr/>
        <w:t xml:space="preserve">2015, and budget for 2016. </w:t>
      </w:r>
      <w:r>
        <w:rPr/>
        <w:t xml:space="preserve"> </w:t>
      </w:r>
    </w:p>
    <w:p>
      <w:pPr>
        <w:spacing w:before="0" w:after="161" w:line="259" w:lineRule="auto"/>
        <w:ind w:left="0" w:right="0" w:firstLine="0"/>
        <w:jc w:val="left"/>
      </w:pPr>
      <w:r>
        <w:rPr>
          <w:sz w:val="22"/>
        </w:rPr>
        <w:t xml:space="preserve"> </w:t>
      </w:r>
    </w:p>
    <w:p>
      <w:pPr>
        <w:spacing w:before="0" w:after="158"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sectPr>
          <w:pgSz w:w="12240" w:h="15840" w:orient="portrait"/>
          <w:pgMar w:left="1440" w:top="1440" w:right="1437" w:bottom="1440"/>
          <w:cols/>
        </w:sectPr>
      </w:pPr>
    </w:p>
    <w:p>
      <w:pPr>
        <w:pStyle w:val="heading1"/>
        <w:spacing w:before="0" w:after="585" w:line="259" w:lineRule="auto"/>
      </w:pPr>
      <w:r>
        <w:rPr/>
        <w:t xml:space="preserve">Table one: Progress Made in 2014</w:t>
      </w:r>
      <w:r>
        <w:rPr/>
        <w:t xml:space="preserve">-</w:t>
      </w:r>
      <w:r>
        <w:rPr/>
        <w:t xml:space="preserve">2015 </w:t>
      </w:r>
      <w:r>
        <w:rPr/>
        <w:t xml:space="preserve"> </w:t>
      </w:r>
    </w:p>
    <w:tbl>
      <w:tblPr>
        <w:tblStyle w:val="TableGrid"/>
        <w:tblW w:w="12951" w:type="dxa"/>
        <w:tblInd w:w="5" w:type="dxa"/>
        <w:tblCellMar>
          <w:top w:w="44" w:type="dxa"/>
          <w:left w:w="107" w:type="dxa"/>
          <w:bottom w:w="0" w:type="dxa"/>
          <w:right w:w="64" w:type="dxa"/>
        </w:tblCellMar>
      </w:tblPr>
      <w:tblGrid>
        <w:gridCol w:w="2708"/>
        <w:gridCol w:w="2113"/>
        <w:gridCol w:w="2886"/>
        <w:gridCol w:w="3119"/>
        <w:gridCol w:w="2126"/>
      </w:tblGrid>
      <w:tr>
        <w:trPr>
          <w:trHeight w:val="551" w:hRule="atLeast"/>
        </w:trPr>
        <w:tc>
          <w:tcPr>
            <w:tcW w:w="2708" w:type="dxa"/>
            <w:tcBorders>
              <w:top w:val="single" w:sz="4" w:color="000000"/>
              <w:left w:val="single" w:sz="4" w:color="000000"/>
              <w:bottom w:val="single" w:sz="17" w:color="000000"/>
              <w:right w:val="single" w:sz="4" w:color="000000"/>
            </w:tcBorders>
            <w:vAlign w:val="top"/>
          </w:tcPr>
          <w:p>
            <w:pPr>
              <w:spacing w:before="0" w:after="1" w:line="259" w:lineRule="auto"/>
              <w:ind w:left="1" w:right="0" w:firstLine="0"/>
              <w:jc w:val="left"/>
            </w:pPr>
            <w:r>
              <w:rPr>
                <w:rFonts w:cs="Calibri" w:hAnsi="Calibri" w:eastAsia="Calibri" w:ascii="Calibri"/>
                <w:b w:val="1"/>
              </w:rPr>
              <w:t xml:space="preserve">INTENDED OUTPUTS &amp; </w:t>
            </w:r>
          </w:p>
          <w:p>
            <w:pPr>
              <w:spacing w:before="0" w:after="0" w:line="259" w:lineRule="auto"/>
              <w:ind w:left="1" w:right="0" w:firstLine="0"/>
              <w:jc w:val="left"/>
            </w:pPr>
            <w:r>
              <w:rPr>
                <w:rFonts w:cs="Calibri" w:hAnsi="Calibri" w:eastAsia="Calibri" w:ascii="Calibri"/>
                <w:b w:val="1"/>
              </w:rPr>
              <w:t xml:space="preserve">INDICATORS OF CHANGE</w:t>
            </w:r>
            <w:r>
              <w:rPr>
                <w:rFonts w:cs="Calibri" w:hAnsi="Calibri" w:eastAsia="Calibri" w:ascii="Calibri"/>
                <w:b w:val="1"/>
              </w:rPr>
              <w:t xml:space="preserve"> </w:t>
            </w:r>
          </w:p>
        </w:tc>
        <w:tc>
          <w:tcPr>
            <w:tcW w:w="2113" w:type="dxa"/>
            <w:tcBorders>
              <w:top w:val="single" w:sz="4" w:color="000000"/>
              <w:left w:val="single" w:sz="4" w:color="000000"/>
              <w:bottom w:val="single" w:sz="17" w:color="000000"/>
              <w:right w:val="single" w:sz="4" w:color="000000"/>
            </w:tcBorders>
            <w:vAlign w:val="top"/>
          </w:tcPr>
          <w:p>
            <w:pPr>
              <w:spacing w:before="0" w:after="1" w:line="259" w:lineRule="auto"/>
              <w:ind w:left="1" w:right="0" w:firstLine="0"/>
              <w:jc w:val="left"/>
            </w:pPr>
            <w:r>
              <w:rPr>
                <w:rFonts w:cs="Calibri" w:hAnsi="Calibri" w:eastAsia="Calibri" w:ascii="Calibri"/>
                <w:b w:val="1"/>
              </w:rPr>
              <w:t xml:space="preserve">BASELINE &amp; OUTPUT  </w:t>
            </w:r>
          </w:p>
          <w:p>
            <w:pPr>
              <w:spacing w:before="0" w:after="0" w:line="259" w:lineRule="auto"/>
              <w:ind w:left="1" w:right="0" w:firstLine="0"/>
              <w:jc w:val="left"/>
            </w:pPr>
            <w:r>
              <w:rPr>
                <w:rFonts w:cs="Calibri" w:hAnsi="Calibri" w:eastAsia="Calibri" w:ascii="Calibri"/>
                <w:b w:val="1"/>
              </w:rPr>
              <w:t xml:space="preserve">TARGETS </w:t>
            </w:r>
            <w:r>
              <w:rPr>
                <w:rFonts w:cs="Calibri" w:hAnsi="Calibri" w:eastAsia="Calibri" w:ascii="Calibri"/>
                <w:b w:val="1"/>
              </w:rPr>
              <w:t xml:space="preserve"> </w:t>
            </w:r>
          </w:p>
        </w:tc>
        <w:tc>
          <w:tcPr>
            <w:tcW w:w="2886" w:type="dxa"/>
            <w:tcBorders>
              <w:top w:val="single" w:sz="4" w:color="000000"/>
              <w:left w:val="single" w:sz="4" w:color="000000"/>
              <w:bottom w:val="single" w:sz="17" w:color="000000"/>
              <w:right w:val="single" w:sz="4" w:color="000000"/>
            </w:tcBorders>
            <w:vAlign w:val="top"/>
          </w:tcPr>
          <w:p>
            <w:pPr>
              <w:spacing w:before="0" w:after="0" w:line="259" w:lineRule="auto"/>
              <w:ind w:left="1" w:right="0" w:firstLine="0"/>
              <w:jc w:val="left"/>
            </w:pPr>
            <w:r>
              <w:rPr>
                <w:rFonts w:cs="Calibri" w:hAnsi="Calibri" w:eastAsia="Calibri" w:ascii="Calibri"/>
                <w:b w:val="1"/>
              </w:rPr>
              <w:t xml:space="preserve">INDICATIVE ACTIVITIES</w:t>
            </w:r>
            <w:r>
              <w:rPr>
                <w:rFonts w:cs="Calibri" w:hAnsi="Calibri" w:eastAsia="Calibri" w:ascii="Calibri"/>
                <w:b w:val="1"/>
              </w:rPr>
              <w:t xml:space="preserve"> </w:t>
            </w:r>
          </w:p>
        </w:tc>
        <w:tc>
          <w:tcPr>
            <w:tcW w:w="3119" w:type="dxa"/>
            <w:tcBorders>
              <w:top w:val="single" w:sz="4" w:color="000000"/>
              <w:left w:val="single" w:sz="4" w:color="000000"/>
              <w:bottom w:val="single" w:sz="17" w:color="000000"/>
              <w:right w:val="single" w:sz="4" w:color="000000"/>
            </w:tcBorders>
            <w:shd w:val="clear" w:fill="e2efd9"/>
            <w:vAlign w:val="top"/>
          </w:tcPr>
          <w:p>
            <w:pPr>
              <w:spacing w:before="0" w:after="0" w:line="259" w:lineRule="auto"/>
              <w:ind w:left="0" w:right="0" w:firstLine="0"/>
              <w:jc w:val="left"/>
            </w:pPr>
            <w:r>
              <w:rPr>
                <w:rFonts w:cs="Calibri" w:hAnsi="Calibri" w:eastAsia="Calibri" w:ascii="Calibri"/>
                <w:b w:val="1"/>
              </w:rPr>
              <w:t xml:space="preserve">Progress Made </w:t>
            </w:r>
            <w:r>
              <w:rPr>
                <w:rFonts w:cs="Calibri" w:hAnsi="Calibri" w:eastAsia="Calibri" w:ascii="Calibri"/>
                <w:b w:val="1"/>
              </w:rPr>
              <w:t xml:space="preserve"> </w:t>
            </w:r>
          </w:p>
        </w:tc>
        <w:tc>
          <w:tcPr>
            <w:tcW w:w="2126" w:type="dxa"/>
            <w:tcBorders>
              <w:top w:val="single" w:sz="4" w:color="000000"/>
              <w:left w:val="single" w:sz="4" w:color="000000"/>
              <w:bottom w:val="single" w:sz="17" w:color="000000"/>
              <w:right w:val="single" w:sz="4" w:color="000000"/>
            </w:tcBorders>
            <w:shd w:val="clear" w:fill="d9e2f3"/>
            <w:vAlign w:val="top"/>
          </w:tcPr>
          <w:p>
            <w:pPr>
              <w:spacing w:before="0" w:after="0" w:line="259" w:lineRule="auto"/>
              <w:ind w:left="1" w:right="0" w:firstLine="0"/>
              <w:jc w:val="left"/>
            </w:pPr>
            <w:r>
              <w:rPr>
                <w:rFonts w:cs="Calibri" w:hAnsi="Calibri" w:eastAsia="Calibri" w:ascii="Calibri"/>
                <w:b w:val="1"/>
              </w:rPr>
              <w:t xml:space="preserve">2016 Activities </w:t>
            </w:r>
            <w:r>
              <w:rPr>
                <w:rFonts w:cs="Calibri" w:hAnsi="Calibri" w:eastAsia="Calibri" w:ascii="Calibri"/>
                <w:b w:val="1"/>
              </w:rPr>
              <w:t xml:space="preserve"> </w:t>
            </w:r>
          </w:p>
        </w:tc>
      </w:tr>
      <w:tr>
        <w:trPr>
          <w:trHeight w:val="7476" w:hRule="atLeast"/>
        </w:trPr>
        <w:tc>
          <w:tcPr>
            <w:tcW w:w="2708" w:type="dxa"/>
            <w:tcBorders>
              <w:top w:val="single" w:sz="17" w:color="000000"/>
              <w:left w:val="single" w:sz="4" w:color="000000"/>
              <w:bottom w:val="single" w:sz="17" w:color="000000"/>
              <w:right w:val="single" w:sz="4" w:color="000000"/>
            </w:tcBorders>
            <w:vAlign w:val="top"/>
          </w:tcPr>
          <w:p>
            <w:pPr>
              <w:spacing w:before="0" w:after="1" w:line="261" w:lineRule="auto"/>
              <w:ind w:left="1" w:right="0" w:firstLine="0"/>
              <w:jc w:val="left"/>
            </w:pPr>
            <w:r>
              <w:rPr>
                <w:rFonts w:cs="Calibri" w:hAnsi="Calibri" w:eastAsia="Calibri" w:ascii="Calibri"/>
                <w:b w:val="1"/>
              </w:rPr>
              <w:t xml:space="preserve">Output 1:</w:t>
            </w:r>
            <w:r>
              <w:rPr/>
              <w:t xml:space="preserve"> </w:t>
            </w:r>
            <w:r>
              <w:rPr/>
              <w:t xml:space="preserve">Countries are supporting informed policy and programming on EI in line </w:t>
            </w:r>
          </w:p>
          <w:p>
            <w:pPr>
              <w:spacing w:before="0" w:after="0" w:line="259" w:lineRule="auto"/>
              <w:ind w:left="1" w:right="0" w:firstLine="0"/>
              <w:jc w:val="left"/>
            </w:pPr>
            <w:r>
              <w:rPr/>
              <w:t xml:space="preserve">with the UNDP strategy </w:t>
            </w:r>
            <w:r>
              <w:rPr/>
              <w:t xml:space="preserve"> </w:t>
            </w:r>
          </w:p>
          <w:p>
            <w:pPr>
              <w:spacing w:before="0" w:after="1" w:line="259" w:lineRule="auto"/>
              <w:ind w:left="1" w:right="0" w:firstLine="0"/>
              <w:jc w:val="left"/>
            </w:pPr>
            <w:r>
              <w:rPr/>
              <w:t xml:space="preserve"> </w:t>
            </w:r>
          </w:p>
          <w:p>
            <w:pPr>
              <w:spacing w:before="0" w:after="192" w:line="259" w:lineRule="auto"/>
              <w:ind w:left="1" w:right="0" w:firstLine="0"/>
              <w:jc w:val="left"/>
            </w:pPr>
            <w:r>
              <w:rPr>
                <w:rFonts w:cs="Calibri" w:hAnsi="Calibri" w:eastAsia="Calibri" w:ascii="Calibri"/>
                <w:b w:val="1"/>
              </w:rPr>
              <w:t xml:space="preserve">Output Indicators:</w:t>
            </w:r>
            <w:r>
              <w:rPr>
                <w:rFonts w:cs="Calibri" w:hAnsi="Calibri" w:eastAsia="Calibri" w:ascii="Calibri"/>
                <w:b w:val="1"/>
              </w:rPr>
              <w:t xml:space="preserve"> </w:t>
            </w:r>
          </w:p>
          <w:p>
            <w:pPr>
              <w:numPr>
                <w:ilvl w:val="0"/>
                <w:numId w:val="2"/>
              </w:numPr>
              <w:spacing w:before="0" w:after="31" w:line="241" w:lineRule="auto"/>
              <w:ind w:left="361" w:right="0" w:hanging="360"/>
              <w:jc w:val="left"/>
            </w:pPr>
            <w:r>
              <w:rPr/>
              <w:t xml:space="preserve">Number of governance risk assessments supported</w:t>
            </w:r>
            <w:r>
              <w:rPr/>
              <w:t xml:space="preserve"> </w:t>
            </w:r>
          </w:p>
          <w:p>
            <w:pPr>
              <w:numPr>
                <w:ilvl w:val="0"/>
                <w:numId w:val="2"/>
              </w:numPr>
              <w:spacing w:before="0" w:after="31" w:line="241" w:lineRule="auto"/>
              <w:ind w:left="361" w:right="0" w:hanging="360"/>
              <w:jc w:val="left"/>
            </w:pPr>
            <w:r>
              <w:rPr/>
              <w:t xml:space="preserve">Number of plans supporting EI for sustainable human development developed </w:t>
            </w:r>
            <w:r>
              <w:rPr/>
              <w:t xml:space="preserve"> </w:t>
            </w:r>
          </w:p>
          <w:p>
            <w:pPr>
              <w:numPr>
                <w:ilvl w:val="0"/>
                <w:numId w:val="2"/>
              </w:numPr>
              <w:spacing w:before="0" w:after="22" w:line="241" w:lineRule="auto"/>
              <w:ind w:left="361" w:right="0" w:hanging="360"/>
              <w:jc w:val="left"/>
            </w:pPr>
            <w:r>
              <w:rPr/>
              <w:t xml:space="preserve">Harmonized tool for EI risk assessment in place and data and knowledge on regional status of EI increased </w:t>
            </w:r>
            <w:r>
              <w:rPr/>
              <w:t xml:space="preserve"> </w:t>
            </w:r>
          </w:p>
          <w:p>
            <w:pPr>
              <w:spacing w:before="0" w:after="0" w:line="259" w:lineRule="auto"/>
              <w:ind w:left="1" w:right="0" w:firstLine="0"/>
              <w:jc w:val="left"/>
            </w:pPr>
            <w:r>
              <w:rPr/>
              <w:t xml:space="preserve">4.</w:t>
            </w:r>
            <w:r>
              <w:rPr>
                <w:rFonts w:cs="Arial" w:hAnsi="Arial" w:eastAsia="Arial" w:ascii="Arial"/>
              </w:rPr>
              <w:t xml:space="preserve"> </w:t>
            </w:r>
            <w:r>
              <w:rPr/>
              <w:t xml:space="preserve"> </w:t>
            </w:r>
          </w:p>
        </w:tc>
        <w:tc>
          <w:tcPr>
            <w:tcW w:w="2113" w:type="dxa"/>
            <w:tcBorders>
              <w:top w:val="single" w:sz="17" w:color="000000"/>
              <w:left w:val="single" w:sz="4" w:color="000000"/>
              <w:bottom w:val="single" w:sz="17" w:color="000000"/>
              <w:right w:val="single" w:sz="4" w:color="000000"/>
            </w:tcBorders>
            <w:vAlign w:val="top"/>
          </w:tcPr>
          <w:p>
            <w:pPr>
              <w:spacing w:before="0" w:after="161" w:line="260" w:lineRule="auto"/>
              <w:ind w:left="1" w:right="13" w:firstLine="0"/>
              <w:jc w:val="left"/>
            </w:pPr>
            <w:r>
              <w:rPr>
                <w:rFonts w:cs="Calibri" w:hAnsi="Calibri" w:eastAsia="Calibri" w:ascii="Calibri"/>
                <w:b w:val="1"/>
              </w:rPr>
              <w:t xml:space="preserve">Baseline 2014</w:t>
            </w:r>
            <w:r>
              <w:rPr>
                <w:rFonts w:cs="Calibri" w:hAnsi="Calibri" w:eastAsia="Calibri" w:ascii="Calibri"/>
                <w:b w:val="1"/>
              </w:rPr>
              <w:t xml:space="preserve">:</w:t>
            </w:r>
            <w:r>
              <w:rPr/>
              <w:t xml:space="preserve"> </w:t>
            </w:r>
            <w:r>
              <w:rPr/>
              <w:t xml:space="preserve">A number of countries in the region have direct or indirect ad hoc interventions impacting EI </w:t>
            </w:r>
            <w:r>
              <w:rPr>
                <w:rFonts w:cs="Calibri" w:hAnsi="Calibri" w:eastAsia="Calibri" w:ascii="Calibri"/>
                <w:b w:val="1"/>
              </w:rPr>
              <w:t xml:space="preserve"> </w:t>
            </w:r>
          </w:p>
          <w:p>
            <w:pPr>
              <w:spacing w:before="0" w:after="0" w:line="259" w:lineRule="auto"/>
              <w:ind w:left="1" w:right="0" w:firstLine="0"/>
              <w:jc w:val="left"/>
            </w:pPr>
            <w:r>
              <w:rPr>
                <w:rFonts w:cs="Calibri" w:hAnsi="Calibri" w:eastAsia="Calibri" w:ascii="Calibri"/>
                <w:b w:val="1"/>
              </w:rPr>
              <w:t xml:space="preserve"> </w:t>
            </w:r>
          </w:p>
          <w:p>
            <w:pPr>
              <w:spacing w:before="0" w:after="0" w:line="261" w:lineRule="auto"/>
              <w:ind w:left="1" w:right="0" w:firstLine="0"/>
              <w:jc w:val="left"/>
            </w:pPr>
            <w:r>
              <w:rPr>
                <w:rFonts w:cs="Calibri" w:hAnsi="Calibri" w:eastAsia="Calibri" w:ascii="Calibri"/>
                <w:b w:val="1"/>
              </w:rPr>
              <w:t xml:space="preserve">Targets for Year 1 </w:t>
            </w:r>
            <w:r>
              <w:rPr>
                <w:rFonts w:cs="Calibri" w:hAnsi="Calibri" w:eastAsia="Calibri" w:ascii="Calibri"/>
                <w:b w:val="1"/>
              </w:rPr>
              <w:t xml:space="preserve">(2014): </w:t>
            </w:r>
          </w:p>
          <w:p>
            <w:pPr>
              <w:numPr>
                <w:ilvl w:val="0"/>
                <w:numId w:val="3"/>
              </w:numPr>
              <w:spacing w:before="0" w:after="0" w:line="260" w:lineRule="auto"/>
              <w:ind w:left="1" w:right="167" w:firstLine="0"/>
              <w:jc w:val="left"/>
            </w:pPr>
            <w:r>
              <w:rPr/>
              <w:t xml:space="preserve">Risk/governance assessments initiated in at 2 countries </w:t>
            </w:r>
            <w:r>
              <w:rPr/>
              <w:t xml:space="preserve"> - </w:t>
            </w:r>
            <w:r>
              <w:rPr/>
              <w:t xml:space="preserve">Integrated programming for EI in line with UNDP </w:t>
            </w:r>
          </w:p>
          <w:p>
            <w:pPr>
              <w:spacing w:before="0" w:after="2" w:line="258" w:lineRule="auto"/>
              <w:ind w:left="1" w:right="0" w:firstLine="0"/>
              <w:jc w:val="left"/>
            </w:pPr>
            <w:r>
              <w:rPr/>
              <w:t xml:space="preserve">Strategy initiated in 2 countries </w:t>
            </w:r>
            <w:r>
              <w:rPr/>
              <w:t xml:space="preserve">  </w:t>
            </w:r>
          </w:p>
          <w:p>
            <w:pPr>
              <w:spacing w:before="0" w:after="1" w:line="259" w:lineRule="auto"/>
              <w:ind w:left="1" w:right="0" w:firstLine="0"/>
              <w:jc w:val="left"/>
            </w:pPr>
            <w:r>
              <w:rPr>
                <w:rFonts w:cs="Calibri" w:hAnsi="Calibri" w:eastAsia="Calibri" w:ascii="Calibri"/>
                <w:b w:val="1"/>
              </w:rPr>
              <w:t xml:space="preserve"> </w:t>
            </w:r>
          </w:p>
          <w:p>
            <w:pPr>
              <w:spacing w:before="0" w:after="1" w:line="259" w:lineRule="auto"/>
              <w:ind w:left="1" w:right="0" w:firstLine="0"/>
              <w:jc w:val="left"/>
            </w:pPr>
            <w:r>
              <w:rPr>
                <w:rFonts w:cs="Calibri" w:hAnsi="Calibri" w:eastAsia="Calibri" w:ascii="Calibri"/>
                <w:b w:val="1"/>
              </w:rPr>
              <w:t xml:space="preserve"> </w:t>
            </w:r>
          </w:p>
          <w:p>
            <w:pPr>
              <w:spacing w:before="0" w:after="2" w:line="258" w:lineRule="auto"/>
              <w:ind w:left="1" w:right="0" w:firstLine="0"/>
              <w:jc w:val="left"/>
            </w:pPr>
            <w:r>
              <w:rPr>
                <w:rFonts w:cs="Calibri" w:hAnsi="Calibri" w:eastAsia="Calibri" w:ascii="Calibri"/>
                <w:b w:val="1"/>
              </w:rPr>
              <w:t xml:space="preserve">Targets for Year 2 </w:t>
            </w:r>
            <w:r>
              <w:rPr>
                <w:rFonts w:cs="Calibri" w:hAnsi="Calibri" w:eastAsia="Calibri" w:ascii="Calibri"/>
                <w:b w:val="1"/>
              </w:rPr>
              <w:t xml:space="preserve">(2015): </w:t>
            </w:r>
          </w:p>
          <w:p>
            <w:pPr>
              <w:numPr>
                <w:ilvl w:val="0"/>
                <w:numId w:val="3"/>
              </w:numPr>
              <w:spacing w:before="0" w:after="0" w:line="259" w:lineRule="auto"/>
              <w:ind w:left="1" w:right="167" w:firstLine="0"/>
              <w:jc w:val="left"/>
            </w:pPr>
            <w:r>
              <w:rPr/>
              <w:t xml:space="preserve">Risk assessments completed in 4 countries </w:t>
            </w:r>
            <w:r>
              <w:rPr/>
              <w:t xml:space="preserve"> - </w:t>
            </w:r>
            <w:r>
              <w:rPr/>
              <w:t xml:space="preserve">Integrated programming for EI in line with UNDP </w:t>
            </w:r>
          </w:p>
        </w:tc>
        <w:tc>
          <w:tcPr>
            <w:tcW w:w="2886" w:type="dxa"/>
            <w:tcBorders>
              <w:top w:val="single" w:sz="17" w:color="000000"/>
              <w:left w:val="single" w:sz="4" w:color="000000"/>
              <w:bottom w:val="single" w:sz="17" w:color="000000"/>
              <w:right w:val="single" w:sz="4" w:color="000000"/>
            </w:tcBorders>
            <w:vAlign w:val="top"/>
          </w:tcPr>
          <w:p>
            <w:pPr>
              <w:numPr>
                <w:ilvl w:val="0"/>
                <w:numId w:val="4"/>
              </w:numPr>
              <w:spacing w:before="0" w:after="28" w:line="241" w:lineRule="auto"/>
              <w:ind w:left="361" w:right="164" w:hanging="360"/>
            </w:pPr>
            <w:r>
              <w:rPr/>
              <w:t xml:space="preserve">Undertaking integrated country risk assessments focusing on contexts specific risks, including governance and legal framework, social, economic, environment and gender impacts in selected countries, to identify areas for UNDP support.</w:t>
            </w:r>
            <w:r>
              <w:rPr/>
              <w:t xml:space="preserve"> </w:t>
            </w:r>
          </w:p>
          <w:p>
            <w:pPr>
              <w:numPr>
                <w:ilvl w:val="0"/>
                <w:numId w:val="4"/>
              </w:numPr>
              <w:spacing w:before="0" w:after="0" w:line="242" w:lineRule="auto"/>
              <w:ind w:left="361" w:right="164" w:hanging="360"/>
            </w:pPr>
            <w:r>
              <w:rPr/>
              <w:t xml:space="preserve">Developing integrated plans/projects</w:t>
            </w:r>
            <w:r>
              <w:rPr/>
              <w:t xml:space="preserve"> </w:t>
            </w:r>
            <w:r>
              <w:rPr/>
              <w:t xml:space="preserve">for support together with selected countries based on the risk </w:t>
            </w:r>
          </w:p>
          <w:p>
            <w:pPr>
              <w:spacing w:before="0" w:after="0" w:line="259" w:lineRule="auto"/>
              <w:ind w:left="361" w:right="0" w:firstLine="0"/>
              <w:jc w:val="left"/>
            </w:pPr>
            <w:r>
              <w:rPr/>
              <w:t xml:space="preserve">assessments</w:t>
            </w:r>
            <w:r>
              <w:rPr/>
              <w:t xml:space="preserve"> </w:t>
            </w:r>
          </w:p>
          <w:p>
            <w:pPr>
              <w:spacing w:before="0" w:after="0" w:line="259" w:lineRule="auto"/>
              <w:ind w:left="361" w:right="0" w:firstLine="0"/>
              <w:jc w:val="left"/>
            </w:pPr>
            <w:r>
              <w:rPr/>
              <w:t xml:space="preserve"> </w:t>
            </w:r>
          </w:p>
        </w:tc>
        <w:tc>
          <w:tcPr>
            <w:tcW w:w="3119" w:type="dxa"/>
            <w:tcBorders>
              <w:top w:val="single" w:sz="17" w:color="000000"/>
              <w:left w:val="single" w:sz="4" w:color="000000"/>
              <w:bottom w:val="single" w:sz="17" w:color="000000"/>
              <w:right w:val="single" w:sz="4" w:color="000000"/>
            </w:tcBorders>
            <w:shd w:val="clear" w:fill="e2efd9"/>
            <w:vAlign w:val="top"/>
          </w:tcPr>
          <w:p>
            <w:pPr>
              <w:spacing w:before="0" w:after="159" w:line="260" w:lineRule="auto"/>
              <w:ind w:left="0" w:right="0" w:firstLine="0"/>
              <w:jc w:val="left"/>
            </w:pPr>
            <w:r>
              <w:rPr>
                <w:rFonts w:cs="Calibri" w:hAnsi="Calibri" w:eastAsia="Calibri" w:ascii="Calibri"/>
                <w:b w:val="1"/>
              </w:rPr>
              <w:t xml:space="preserve">Progress</w:t>
            </w:r>
            <w:r>
              <w:rPr/>
              <w:t xml:space="preserve">: Integrated scoping missions (Indonesia, Mongolia and the Philippines) helped to identify challenges and identify</w:t>
            </w:r>
            <w:r>
              <w:rPr/>
              <w:t xml:space="preserve"> </w:t>
            </w:r>
            <w:r>
              <w:rPr/>
              <w:t xml:space="preserve">programming options</w:t>
            </w:r>
            <w:r>
              <w:rPr/>
              <w:t xml:space="preserve"> </w:t>
            </w:r>
            <w:r>
              <w:rPr/>
              <w:t xml:space="preserve">for UNDP Country Offices to strengthen contribution of EI to sustainable development</w:t>
            </w:r>
            <w:r>
              <w:rPr/>
              <w:t xml:space="preserve">.</w:t>
            </w:r>
            <w:r>
              <w:rPr/>
              <w:t xml:space="preserve"> </w:t>
            </w:r>
          </w:p>
          <w:p>
            <w:pPr>
              <w:spacing w:before="0" w:after="0" w:line="261" w:lineRule="auto"/>
              <w:ind w:left="0" w:right="30" w:firstLine="0"/>
              <w:jc w:val="left"/>
            </w:pPr>
            <w:r>
              <w:rPr/>
              <w:t xml:space="preserve"> </w:t>
            </w:r>
            <w:r>
              <w:rPr/>
              <w:t xml:space="preserve">In </w:t>
            </w:r>
            <w:r>
              <w:rPr>
                <w:rFonts w:cs="Calibri" w:hAnsi="Calibri" w:eastAsia="Calibri" w:ascii="Calibri"/>
                <w:b w:val="1"/>
              </w:rPr>
              <w:t xml:space="preserve">Indonesia</w:t>
            </w:r>
            <w:r>
              <w:rPr/>
              <w:t xml:space="preserve">, support was provided to the development of Coal Mining Road Map, Feasibility </w:t>
            </w:r>
          </w:p>
          <w:p>
            <w:pPr>
              <w:spacing w:before="0" w:after="159" w:line="260" w:lineRule="auto"/>
              <w:ind w:left="0" w:right="0" w:firstLine="0"/>
              <w:jc w:val="left"/>
            </w:pPr>
            <w:r>
              <w:rPr/>
              <w:t xml:space="preserve">Study on Sovereign Wealth Fund in Bojonegoro, and the development of Mining Governance Index with the Anti</w:t>
            </w:r>
            <w:r>
              <w:rPr/>
              <w:t xml:space="preserve">-</w:t>
            </w:r>
            <w:r>
              <w:rPr/>
              <w:t xml:space="preserve">Corruption Agency (KPK).  The governance index will be used to assess the quality of governance in extractives sector at the provincial level. </w:t>
            </w:r>
            <w:r>
              <w:rPr/>
              <w:t xml:space="preserve"> </w:t>
            </w:r>
          </w:p>
          <w:p>
            <w:pPr>
              <w:spacing w:before="0" w:after="17" w:line="261" w:lineRule="auto"/>
              <w:ind w:left="0" w:right="0" w:firstLine="0"/>
              <w:jc w:val="left"/>
            </w:pPr>
            <w:r>
              <w:rPr/>
              <w:t xml:space="preserve"> </w:t>
            </w:r>
            <w:r>
              <w:rPr/>
              <w:t xml:space="preserve">In </w:t>
            </w:r>
            <w:r>
              <w:rPr>
                <w:rFonts w:cs="Calibri" w:hAnsi="Calibri" w:eastAsia="Calibri" w:ascii="Calibri"/>
                <w:b w:val="1"/>
              </w:rPr>
              <w:t xml:space="preserve">Mongolia,</w:t>
            </w:r>
            <w:r>
              <w:rPr/>
              <w:t xml:space="preserve"> </w:t>
            </w:r>
            <w:r>
              <w:rPr/>
              <w:t xml:space="preserve">preparatory activities were completed and experts were hired to conduct three studies: </w:t>
            </w:r>
            <w:r>
              <w:rPr/>
              <w:t xml:space="preserve"> </w:t>
            </w:r>
          </w:p>
          <w:p>
            <w:pPr>
              <w:numPr>
                <w:ilvl w:val="0"/>
                <w:numId w:val="5"/>
              </w:numPr>
              <w:spacing w:before="0" w:after="0" w:line="259" w:lineRule="auto"/>
              <w:ind w:left="0" w:right="0" w:firstLine="0"/>
              <w:jc w:val="left"/>
            </w:pPr>
            <w:r>
              <w:rPr/>
              <w:t xml:space="preserve">Mining revenue allocation study</w:t>
            </w:r>
            <w:r>
              <w:rPr/>
              <w:t xml:space="preserve"> </w:t>
            </w:r>
          </w:p>
          <w:p>
            <w:pPr>
              <w:numPr>
                <w:ilvl w:val="0"/>
                <w:numId w:val="5"/>
              </w:numPr>
              <w:spacing w:before="0" w:after="0" w:line="261" w:lineRule="auto"/>
              <w:ind w:left="0" w:right="0" w:firstLine="0"/>
              <w:jc w:val="left"/>
            </w:pPr>
            <w:r>
              <w:rPr/>
              <w:t xml:space="preserve">Consultancy on Responsible mining</w:t>
            </w:r>
            <w:r>
              <w:rPr/>
              <w:t xml:space="preserve"> </w:t>
            </w:r>
          </w:p>
          <w:p>
            <w:pPr>
              <w:numPr>
                <w:ilvl w:val="0"/>
                <w:numId w:val="5"/>
              </w:numPr>
              <w:spacing w:before="0" w:after="0" w:line="259" w:lineRule="auto"/>
              <w:ind w:left="0" w:right="0" w:firstLine="0"/>
              <w:jc w:val="left"/>
            </w:pPr>
            <w:r>
              <w:rPr/>
              <w:t xml:space="preserve">Study</w:t>
            </w:r>
            <w:r>
              <w:rPr/>
              <w:t xml:space="preserve"> </w:t>
            </w:r>
            <w:r>
              <w:rPr/>
              <w:t xml:space="preserve">on Corruption Risk mitigation</w:t>
            </w:r>
            <w:r>
              <w:rPr/>
              <w:t xml:space="preserve"> </w:t>
            </w:r>
          </w:p>
        </w:tc>
        <w:tc>
          <w:tcPr>
            <w:tcW w:w="2126" w:type="dxa"/>
            <w:tcBorders>
              <w:top w:val="single" w:sz="17" w:color="000000"/>
              <w:left w:val="single" w:sz="4" w:color="000000"/>
              <w:bottom w:val="single" w:sz="17" w:color="000000"/>
              <w:right w:val="single" w:sz="4" w:color="000000"/>
            </w:tcBorders>
            <w:shd w:val="clear" w:fill="d9e2f3"/>
            <w:vAlign w:val="top"/>
          </w:tcPr>
          <w:p>
            <w:pPr>
              <w:numPr>
                <w:ilvl w:val="0"/>
                <w:numId w:val="6"/>
              </w:numPr>
              <w:spacing w:before="0" w:after="29" w:line="277" w:lineRule="auto"/>
              <w:ind w:left="359" w:right="44" w:hanging="358"/>
              <w:jc w:val="left"/>
            </w:pPr>
            <w:r>
              <w:rPr/>
              <w:t xml:space="preserve">On</w:t>
            </w:r>
            <w:r>
              <w:rPr/>
              <w:t xml:space="preserve">-</w:t>
            </w:r>
            <w:r>
              <w:rPr/>
              <w:t xml:space="preserve">going studies in Indonesia, Mongolia, Pakistan and the Philippines completed </w:t>
            </w:r>
            <w:r>
              <w:rPr/>
              <w:t xml:space="preserve"> </w:t>
            </w:r>
          </w:p>
          <w:p>
            <w:pPr>
              <w:numPr>
                <w:ilvl w:val="0"/>
                <w:numId w:val="6"/>
              </w:numPr>
              <w:spacing w:before="0" w:after="0" w:line="259" w:lineRule="auto"/>
              <w:ind w:left="359" w:right="44" w:hanging="358"/>
              <w:jc w:val="left"/>
            </w:pPr>
            <w:r>
              <w:rPr/>
              <w:t xml:space="preserve">Final country reports on EI produced. </w:t>
            </w:r>
            <w:r>
              <w:rPr/>
              <w:t xml:space="preserve"> </w:t>
            </w:r>
          </w:p>
        </w:tc>
      </w:tr>
    </w:tbl>
    <w:p>
      <w:pPr>
        <w:spacing w:before="0" w:after="0" w:line="259" w:lineRule="auto"/>
        <w:ind w:left="-1440" w:right="5371" w:firstLine="0"/>
        <w:jc w:val="left"/>
      </w:pPr>
    </w:p>
    <w:tbl>
      <w:tblPr>
        <w:tblStyle w:val="TableGrid"/>
        <w:tblW w:w="12951" w:type="dxa"/>
        <w:tblInd w:w="5" w:type="dxa"/>
        <w:tblCellMar>
          <w:top w:w="51" w:type="dxa"/>
          <w:left w:w="0" w:type="dxa"/>
          <w:bottom w:w="0" w:type="dxa"/>
          <w:right w:w="20" w:type="dxa"/>
        </w:tblCellMar>
      </w:tblPr>
      <w:tblGrid>
        <w:gridCol w:w="2708"/>
        <w:gridCol w:w="2113"/>
        <w:gridCol w:w="468"/>
        <w:gridCol w:w="2418"/>
        <w:gridCol w:w="3119"/>
        <w:gridCol w:w="829"/>
        <w:gridCol w:w="1297"/>
      </w:tblGrid>
      <w:tr>
        <w:trPr>
          <w:trHeight w:val="5160" w:hRule="atLeast"/>
        </w:trPr>
        <w:tc>
          <w:tcPr>
            <w:tcW w:w="2708" w:type="dxa"/>
            <w:tcBorders>
              <w:top w:val="single" w:sz="17" w:color="000000"/>
              <w:left w:val="single" w:sz="4" w:color="000000"/>
              <w:bottom w:val="single" w:sz="17" w:color="000000"/>
              <w:right w:val="single" w:sz="4" w:color="000000"/>
            </w:tcBorders>
            <w:vAlign w:val="top"/>
          </w:tcPr>
          <w:p>
            <w:pPr>
              <w:bidi w:val="0"/>
              <w:spacing w:before="0" w:after="160" w:line="259" w:lineRule="auto"/>
              <w:ind w:left="0" w:right="0" w:firstLine="0"/>
              <w:jc w:val="left"/>
            </w:pPr>
          </w:p>
        </w:tc>
        <w:tc>
          <w:tcPr>
            <w:tcW w:w="2113" w:type="dxa"/>
            <w:tcBorders>
              <w:top w:val="single" w:sz="17" w:color="000000"/>
              <w:left w:val="single" w:sz="4" w:color="000000"/>
              <w:bottom w:val="single" w:sz="17" w:color="000000"/>
              <w:right w:val="single" w:sz="4" w:color="000000"/>
            </w:tcBorders>
            <w:vAlign w:val="top"/>
          </w:tcPr>
          <w:p>
            <w:pPr>
              <w:spacing w:before="0" w:after="0" w:line="261" w:lineRule="auto"/>
              <w:ind w:left="108" w:right="0" w:firstLine="0"/>
              <w:jc w:val="left"/>
            </w:pPr>
            <w:r>
              <w:rPr/>
              <w:t xml:space="preserve">Strategy initiated in 4 countries </w:t>
            </w:r>
            <w:r>
              <w:rPr/>
              <w:t xml:space="preserve">  </w:t>
            </w:r>
          </w:p>
          <w:p>
            <w:pPr>
              <w:spacing w:before="0" w:after="0" w:line="259" w:lineRule="auto"/>
              <w:ind w:left="108" w:right="0" w:firstLine="0"/>
              <w:jc w:val="left"/>
            </w:pPr>
            <w:r>
              <w:rPr>
                <w:rFonts w:cs="Calibri" w:hAnsi="Calibri" w:eastAsia="Calibri" w:ascii="Calibri"/>
                <w:b w:val="1"/>
              </w:rPr>
              <w:t xml:space="preserve"> </w:t>
            </w:r>
          </w:p>
        </w:tc>
        <w:tc>
          <w:tcPr>
            <w:tcW w:w="468" w:type="dxa"/>
            <w:tcBorders>
              <w:top w:val="single" w:sz="17" w:color="000000"/>
              <w:left w:val="single" w:sz="4" w:color="000000"/>
              <w:bottom w:val="single" w:sz="17" w:color="000000"/>
              <w:right w:val="nil"/>
            </w:tcBorders>
            <w:vAlign w:val="center"/>
          </w:tcPr>
          <w:p>
            <w:pPr>
              <w:bidi w:val="0"/>
              <w:spacing w:before="0" w:after="160" w:line="259" w:lineRule="auto"/>
              <w:ind w:left="0" w:right="0" w:firstLine="0"/>
              <w:jc w:val="left"/>
            </w:pPr>
          </w:p>
        </w:tc>
        <w:tc>
          <w:tcPr>
            <w:tcW w:w="2418" w:type="dxa"/>
            <w:tcBorders>
              <w:top w:val="single" w:sz="17" w:color="000000"/>
              <w:left w:val="nil"/>
              <w:bottom w:val="single" w:sz="17" w:color="000000"/>
              <w:right w:val="single" w:sz="4" w:color="000000"/>
            </w:tcBorders>
            <w:vAlign w:val="center"/>
          </w:tcPr>
          <w:p>
            <w:pPr>
              <w:bidi w:val="0"/>
              <w:spacing w:before="0" w:after="160" w:line="259" w:lineRule="auto"/>
              <w:ind w:left="0" w:right="0" w:firstLine="0"/>
              <w:jc w:val="left"/>
            </w:pPr>
          </w:p>
        </w:tc>
        <w:tc>
          <w:tcPr>
            <w:tcW w:w="3119" w:type="dxa"/>
            <w:tcBorders>
              <w:top w:val="single" w:sz="17" w:color="000000"/>
              <w:left w:val="single" w:sz="4" w:color="000000"/>
              <w:bottom w:val="single" w:sz="17" w:color="000000"/>
              <w:right w:val="single" w:sz="4" w:color="000000"/>
            </w:tcBorders>
            <w:shd w:val="clear" w:fill="e2efd9"/>
            <w:vAlign w:val="top"/>
          </w:tcPr>
          <w:p>
            <w:pPr>
              <w:spacing w:before="0" w:after="158" w:line="261" w:lineRule="auto"/>
              <w:ind w:left="107" w:right="94" w:firstLine="0"/>
              <w:jc w:val="left"/>
            </w:pPr>
            <w:r>
              <w:rPr/>
              <w:t xml:space="preserve">The three studies will be completed in 2016. </w:t>
            </w:r>
            <w:r>
              <w:rPr/>
              <w:t xml:space="preserve"> </w:t>
            </w:r>
          </w:p>
          <w:p>
            <w:pPr>
              <w:spacing w:before="0" w:after="161" w:line="260" w:lineRule="auto"/>
              <w:ind w:left="107" w:right="0" w:firstLine="0"/>
              <w:jc w:val="left"/>
            </w:pPr>
            <w:r>
              <w:rPr/>
              <w:t xml:space="preserve">In </w:t>
            </w:r>
            <w:r>
              <w:rPr>
                <w:rFonts w:cs="Calibri" w:hAnsi="Calibri" w:eastAsia="Calibri" w:ascii="Calibri"/>
                <w:b w:val="1"/>
              </w:rPr>
              <w:t xml:space="preserve">Pakistan</w:t>
            </w:r>
            <w:r>
              <w:rPr/>
              <w:t xml:space="preserve">, a mapping and analysis of constitutional, legal, institutional and financial aspects of the EI governance is currently being conducted. </w:t>
            </w:r>
            <w:r>
              <w:rPr/>
              <w:t xml:space="preserve"> </w:t>
            </w:r>
          </w:p>
          <w:p>
            <w:pPr>
              <w:spacing w:before="0" w:after="159" w:line="260" w:lineRule="auto"/>
              <w:ind w:left="107" w:right="44" w:firstLine="0"/>
              <w:jc w:val="left"/>
            </w:pPr>
            <w:r>
              <w:rPr/>
              <w:t xml:space="preserve">In </w:t>
            </w:r>
            <w:r>
              <w:rPr>
                <w:rFonts w:cs="Calibri" w:hAnsi="Calibri" w:eastAsia="Calibri" w:ascii="Calibri"/>
                <w:b w:val="1"/>
              </w:rPr>
              <w:t xml:space="preserve">the Philippines</w:t>
            </w:r>
            <w:r>
              <w:rPr/>
              <w:t xml:space="preserve">, the GREENR project supported local and national consultations on governance of the mining sector. The project also brought together all the oversight institutions to discuss their role in strengthening environmental governance in the Philippines. </w:t>
            </w:r>
            <w:r>
              <w:rPr/>
              <w:t xml:space="preserve">  </w:t>
            </w:r>
          </w:p>
          <w:p>
            <w:pPr>
              <w:spacing w:before="0" w:after="0" w:line="259" w:lineRule="auto"/>
              <w:ind w:left="107" w:right="0" w:firstLine="0"/>
              <w:jc w:val="left"/>
            </w:pPr>
            <w:r>
              <w:rPr/>
              <w:t xml:space="preserve"> </w:t>
            </w:r>
          </w:p>
        </w:tc>
        <w:tc>
          <w:tcPr>
            <w:tcW w:w="829" w:type="dxa"/>
            <w:tcBorders>
              <w:top w:val="single" w:sz="17" w:color="000000"/>
              <w:left w:val="single" w:sz="4" w:color="000000"/>
              <w:bottom w:val="single" w:sz="17" w:color="000000"/>
              <w:right w:val="nil"/>
            </w:tcBorders>
            <w:shd w:val="clear" w:fill="d9e2f3"/>
            <w:vAlign w:val="bottom"/>
          </w:tcPr>
          <w:p>
            <w:pPr>
              <w:bidi w:val="0"/>
              <w:spacing w:before="0" w:after="160" w:line="259" w:lineRule="auto"/>
              <w:ind w:left="0" w:right="0" w:firstLine="0"/>
              <w:jc w:val="left"/>
            </w:pPr>
          </w:p>
        </w:tc>
        <w:tc>
          <w:tcPr>
            <w:tcW w:w="1297" w:type="dxa"/>
            <w:tcBorders>
              <w:top w:val="single" w:sz="17" w:color="000000"/>
              <w:left w:val="nil"/>
              <w:bottom w:val="single" w:sz="17" w:color="000000"/>
              <w:right w:val="single" w:sz="4" w:color="000000"/>
            </w:tcBorders>
            <w:shd w:val="clear" w:fill="d9e2f3"/>
            <w:vAlign w:val="top"/>
          </w:tcPr>
          <w:p>
            <w:pPr>
              <w:bidi w:val="0"/>
              <w:spacing w:before="0" w:after="160" w:line="259" w:lineRule="auto"/>
              <w:ind w:left="0" w:right="0" w:firstLine="0"/>
              <w:jc w:val="left"/>
            </w:pPr>
          </w:p>
        </w:tc>
      </w:tr>
      <w:tr>
        <w:trPr>
          <w:trHeight w:val="3991" w:hRule="atLeast"/>
        </w:trPr>
        <w:tc>
          <w:tcPr>
            <w:tcW w:w="2708" w:type="dxa"/>
            <w:tcBorders>
              <w:top w:val="single" w:sz="17" w:color="000000"/>
              <w:left w:val="single" w:sz="4" w:color="000000"/>
              <w:bottom w:val="single" w:sz="17" w:color="000000"/>
              <w:right w:val="single" w:sz="4" w:color="000000"/>
            </w:tcBorders>
            <w:vAlign w:val="top"/>
          </w:tcPr>
          <w:p>
            <w:pPr>
              <w:spacing w:before="0" w:after="158" w:line="261" w:lineRule="auto"/>
              <w:ind w:left="108" w:right="267" w:firstLine="0"/>
            </w:pPr>
            <w:r>
              <w:rPr>
                <w:rFonts w:cs="Calibri" w:hAnsi="Calibri" w:eastAsia="Calibri" w:ascii="Calibri"/>
                <w:b w:val="1"/>
              </w:rPr>
              <w:t xml:space="preserve">Output </w:t>
            </w:r>
            <w:r>
              <w:rPr>
                <w:rFonts w:cs="Calibri" w:hAnsi="Calibri" w:eastAsia="Calibri" w:ascii="Calibri"/>
                <w:b w:val="1"/>
              </w:rPr>
              <w:t xml:space="preserve">2: </w:t>
            </w:r>
            <w:r>
              <w:rPr/>
              <w:t xml:space="preserve"> </w:t>
            </w:r>
            <w:r>
              <w:rPr/>
              <w:t xml:space="preserve">Regional data, knowledge and tools are generated and disseminated</w:t>
            </w:r>
            <w:r>
              <w:rPr/>
              <w:t xml:space="preserve"> </w:t>
            </w:r>
          </w:p>
          <w:p>
            <w:pPr>
              <w:spacing w:before="0" w:after="192" w:line="259" w:lineRule="auto"/>
              <w:ind w:left="108" w:right="0" w:firstLine="0"/>
              <w:jc w:val="left"/>
            </w:pPr>
            <w:r>
              <w:rPr/>
              <w:t xml:space="preserve">  </w:t>
            </w:r>
            <w:r>
              <w:rPr>
                <w:rFonts w:cs="Calibri" w:hAnsi="Calibri" w:eastAsia="Calibri" w:ascii="Calibri"/>
                <w:b w:val="1"/>
              </w:rPr>
              <w:t xml:space="preserve">Output Indicators</w:t>
            </w:r>
            <w:r>
              <w:rPr/>
              <w:t xml:space="preserve"> </w:t>
            </w:r>
          </w:p>
          <w:p>
            <w:pPr>
              <w:numPr>
                <w:ilvl w:val="0"/>
                <w:numId w:val="7"/>
              </w:numPr>
              <w:spacing w:before="0" w:after="0" w:line="242" w:lineRule="auto"/>
              <w:ind w:left="468" w:right="0" w:hanging="360"/>
              <w:jc w:val="left"/>
            </w:pPr>
            <w:r>
              <w:rPr/>
              <w:t xml:space="preserve">Number of tools for extractive industries risk </w:t>
            </w:r>
          </w:p>
          <w:p>
            <w:pPr>
              <w:spacing w:before="0" w:after="30" w:line="242" w:lineRule="auto"/>
              <w:ind w:left="468" w:right="0" w:firstLine="0"/>
              <w:jc w:val="left"/>
            </w:pPr>
            <w:r>
              <w:rPr/>
              <w:t xml:space="preserve">assessment adapted/developed</w:t>
            </w:r>
            <w:r>
              <w:rPr/>
              <w:t xml:space="preserve"> </w:t>
            </w:r>
          </w:p>
          <w:p>
            <w:pPr>
              <w:numPr>
                <w:ilvl w:val="0"/>
                <w:numId w:val="7"/>
              </w:numPr>
              <w:spacing w:before="0" w:after="1" w:line="240" w:lineRule="auto"/>
              <w:ind w:left="468" w:right="0" w:hanging="360"/>
              <w:jc w:val="left"/>
            </w:pPr>
            <w:r>
              <w:rPr/>
              <w:t xml:space="preserve">Number of regional learning/exchange </w:t>
            </w:r>
          </w:p>
          <w:p>
            <w:pPr>
              <w:spacing w:before="0" w:after="12" w:line="259" w:lineRule="auto"/>
              <w:ind w:left="468" w:right="0" w:firstLine="0"/>
              <w:jc w:val="left"/>
            </w:pPr>
            <w:r>
              <w:rPr/>
              <w:t xml:space="preserve">initiatives held</w:t>
            </w:r>
            <w:r>
              <w:rPr/>
              <w:t xml:space="preserve"> </w:t>
            </w:r>
          </w:p>
          <w:p>
            <w:pPr>
              <w:numPr>
                <w:ilvl w:val="0"/>
                <w:numId w:val="7"/>
              </w:numPr>
              <w:spacing w:before="0" w:after="0" w:line="259" w:lineRule="auto"/>
              <w:ind w:left="468" w:right="0" w:hanging="360"/>
              <w:jc w:val="left"/>
            </w:pPr>
            <w:r>
              <w:rPr/>
              <w:t xml:space="preserve">Number of awareness/advocacy products supported</w:t>
            </w:r>
            <w:r>
              <w:rPr/>
              <w:t xml:space="preserve"> </w:t>
            </w:r>
          </w:p>
        </w:tc>
        <w:tc>
          <w:tcPr>
            <w:tcW w:w="2113" w:type="dxa"/>
            <w:tcBorders>
              <w:top w:val="single" w:sz="17" w:color="000000"/>
              <w:left w:val="single" w:sz="4" w:color="000000"/>
              <w:bottom w:val="single" w:sz="17" w:color="000000"/>
              <w:right w:val="single" w:sz="4" w:color="000000"/>
            </w:tcBorders>
            <w:vAlign w:val="top"/>
          </w:tcPr>
          <w:p>
            <w:pPr>
              <w:spacing w:before="0" w:after="0" w:line="261" w:lineRule="auto"/>
              <w:ind w:left="108" w:right="0" w:firstLine="0"/>
              <w:jc w:val="left"/>
            </w:pPr>
            <w:r>
              <w:rPr>
                <w:rFonts w:cs="Calibri" w:hAnsi="Calibri" w:eastAsia="Calibri" w:ascii="Calibri"/>
                <w:b w:val="1"/>
              </w:rPr>
              <w:t xml:space="preserve">Baseline 2014</w:t>
            </w:r>
            <w:r>
              <w:rPr>
                <w:rFonts w:cs="Calibri" w:hAnsi="Calibri" w:eastAsia="Calibri" w:ascii="Calibri"/>
                <w:b w:val="1"/>
              </w:rPr>
              <w:t xml:space="preserve">:</w:t>
            </w:r>
            <w:r>
              <w:rPr/>
              <w:t xml:space="preserve"> </w:t>
            </w:r>
            <w:r>
              <w:rPr/>
              <w:t xml:space="preserve">Lack of analytical knowledge about the impact of </w:t>
            </w:r>
          </w:p>
          <w:p>
            <w:pPr>
              <w:spacing w:before="0" w:after="1" w:line="259" w:lineRule="auto"/>
              <w:ind w:left="108" w:right="0" w:firstLine="0"/>
              <w:jc w:val="left"/>
            </w:pPr>
            <w:r>
              <w:rPr/>
              <w:t xml:space="preserve">extractive industry on </w:t>
            </w:r>
          </w:p>
          <w:p>
            <w:pPr>
              <w:spacing w:before="0" w:after="0" w:line="259" w:lineRule="auto"/>
              <w:ind w:left="108" w:right="0" w:firstLine="0"/>
              <w:jc w:val="left"/>
            </w:pPr>
            <w:r>
              <w:rPr/>
              <w:t xml:space="preserve">human development </w:t>
            </w:r>
          </w:p>
          <w:p>
            <w:pPr>
              <w:spacing w:before="0" w:after="162" w:line="259" w:lineRule="auto"/>
              <w:ind w:left="108" w:right="0" w:firstLine="0"/>
              <w:jc w:val="left"/>
            </w:pPr>
            <w:r>
              <w:rPr/>
              <w:t xml:space="preserve">in Asia Pacific </w:t>
            </w:r>
            <w:r>
              <w:rPr/>
              <w:t xml:space="preserve"> </w:t>
            </w:r>
          </w:p>
          <w:p>
            <w:pPr>
              <w:spacing w:before="0" w:after="0" w:line="261" w:lineRule="auto"/>
              <w:ind w:left="108" w:right="0" w:firstLine="0"/>
              <w:jc w:val="left"/>
            </w:pPr>
            <w:r>
              <w:rPr>
                <w:rFonts w:cs="Calibri" w:hAnsi="Calibri" w:eastAsia="Calibri" w:ascii="Calibri"/>
                <w:b w:val="1"/>
              </w:rPr>
              <w:t xml:space="preserve">Targets for Year 1 </w:t>
            </w:r>
            <w:r>
              <w:rPr>
                <w:rFonts w:cs="Calibri" w:hAnsi="Calibri" w:eastAsia="Calibri" w:ascii="Calibri"/>
                <w:b w:val="1"/>
              </w:rPr>
              <w:t xml:space="preserve">(2014): </w:t>
            </w:r>
          </w:p>
          <w:p>
            <w:pPr>
              <w:spacing w:before="0" w:after="0" w:line="259" w:lineRule="auto"/>
              <w:ind w:left="108" w:right="39" w:firstLine="0"/>
              <w:jc w:val="left"/>
            </w:pPr>
            <w:r>
              <w:rPr/>
              <w:t xml:space="preserve">- </w:t>
            </w:r>
            <w:r>
              <w:rPr/>
              <w:t xml:space="preserve">standard tool for governance risk assessment adopted for the region (or adapted from the GI) </w:t>
            </w:r>
            <w:r>
              <w:rPr/>
              <w:t xml:space="preserve"> </w:t>
            </w:r>
          </w:p>
        </w:tc>
        <w:tc>
          <w:tcPr>
            <w:tcW w:w="468" w:type="dxa"/>
            <w:tcBorders>
              <w:top w:val="single" w:sz="17" w:color="000000"/>
              <w:left w:val="single" w:sz="4" w:color="000000"/>
              <w:bottom w:val="single" w:sz="17" w:color="000000"/>
              <w:right w:val="nil"/>
            </w:tcBorders>
            <w:vAlign w:val="top"/>
          </w:tcPr>
          <w:p>
            <w:pPr>
              <w:spacing w:before="0" w:after="498" w:line="259" w:lineRule="auto"/>
              <w:ind w:left="108" w:right="0" w:firstLine="0"/>
              <w:jc w:val="left"/>
            </w:pPr>
            <w:r>
              <w:rPr/>
              <w:t xml:space="preserve">1.</w:t>
            </w:r>
            <w:r>
              <w:rPr>
                <w:rFonts w:cs="Arial" w:hAnsi="Arial" w:eastAsia="Arial" w:ascii="Arial"/>
              </w:rPr>
              <w:t xml:space="preserve"> </w:t>
            </w:r>
          </w:p>
          <w:p>
            <w:pPr>
              <w:spacing w:before="0" w:after="982" w:line="259" w:lineRule="auto"/>
              <w:ind w:left="108" w:right="0" w:firstLine="0"/>
              <w:jc w:val="left"/>
            </w:pPr>
            <w:r>
              <w:rPr/>
              <w:t xml:space="preserve">2.</w:t>
            </w:r>
            <w:r>
              <w:rPr>
                <w:rFonts w:cs="Arial" w:hAnsi="Arial" w:eastAsia="Arial" w:ascii="Arial"/>
              </w:rPr>
              <w:t xml:space="preserve"> </w:t>
            </w:r>
          </w:p>
          <w:p>
            <w:pPr>
              <w:spacing w:before="0" w:after="0" w:line="259" w:lineRule="auto"/>
              <w:ind w:left="108" w:right="0" w:firstLine="0"/>
              <w:jc w:val="left"/>
            </w:pPr>
            <w:r>
              <w:rPr/>
              <w:t xml:space="preserve">3.</w:t>
            </w:r>
            <w:r>
              <w:rPr>
                <w:rFonts w:cs="Arial" w:hAnsi="Arial" w:eastAsia="Arial" w:ascii="Arial"/>
              </w:rPr>
              <w:t xml:space="preserve"> </w:t>
            </w:r>
          </w:p>
        </w:tc>
        <w:tc>
          <w:tcPr>
            <w:tcW w:w="2418" w:type="dxa"/>
            <w:tcBorders>
              <w:top w:val="single" w:sz="17" w:color="000000"/>
              <w:left w:val="nil"/>
              <w:bottom w:val="single" w:sz="17" w:color="000000"/>
              <w:right w:val="single" w:sz="4" w:color="000000"/>
            </w:tcBorders>
            <w:vAlign w:val="top"/>
          </w:tcPr>
          <w:p>
            <w:pPr>
              <w:spacing w:before="0" w:after="3" w:line="241" w:lineRule="auto"/>
              <w:ind w:left="0" w:right="58" w:firstLine="0"/>
              <w:jc w:val="left"/>
            </w:pPr>
            <w:r>
              <w:rPr/>
              <w:t xml:space="preserve">Developing regional research and knowledge sharing strategy and plan </w:t>
            </w:r>
            <w:r>
              <w:rPr/>
              <w:t xml:space="preserve"> </w:t>
            </w:r>
            <w:r>
              <w:rPr/>
              <w:t xml:space="preserve">Supporting South</w:t>
            </w:r>
            <w:r>
              <w:rPr/>
              <w:t xml:space="preserve">-</w:t>
            </w:r>
            <w:r>
              <w:rPr/>
              <w:t xml:space="preserve">south exchanges on EI and regional events for knowledge, capacity building and advocacy</w:t>
            </w:r>
            <w:r>
              <w:rPr/>
              <w:t xml:space="preserve"> </w:t>
            </w:r>
            <w:r>
              <w:rPr/>
              <w:t xml:space="preserve">Defining full</w:t>
            </w:r>
            <w:r>
              <w:rPr/>
              <w:t xml:space="preserve"> </w:t>
            </w:r>
            <w:r>
              <w:rPr/>
              <w:t xml:space="preserve">scope of intervention at regional level and adequate support and lessons documented for the eligible countries on a demand basis.</w:t>
            </w:r>
            <w:r>
              <w:rPr/>
              <w:t xml:space="preserve"> </w:t>
            </w:r>
          </w:p>
          <w:p>
            <w:pPr>
              <w:spacing w:before="0" w:after="0" w:line="259" w:lineRule="auto"/>
              <w:ind w:left="0" w:right="0" w:firstLine="0"/>
              <w:jc w:val="left"/>
            </w:pPr>
            <w:r>
              <w:rPr/>
              <w:t xml:space="preserve"> </w:t>
            </w:r>
          </w:p>
        </w:tc>
        <w:tc>
          <w:tcPr>
            <w:tcW w:w="3119" w:type="dxa"/>
            <w:tcBorders>
              <w:top w:val="single" w:sz="17" w:color="000000"/>
              <w:left w:val="single" w:sz="4" w:color="000000"/>
              <w:bottom w:val="single" w:sz="17" w:color="000000"/>
              <w:right w:val="single" w:sz="4" w:color="000000"/>
            </w:tcBorders>
            <w:shd w:val="clear" w:fill="e2efd9"/>
            <w:vAlign w:val="top"/>
          </w:tcPr>
          <w:p>
            <w:pPr>
              <w:spacing w:before="0" w:after="0" w:line="261" w:lineRule="auto"/>
              <w:ind w:left="107" w:right="49" w:firstLine="0"/>
              <w:jc w:val="left"/>
            </w:pPr>
            <w:r>
              <w:rPr/>
              <w:t xml:space="preserve">Two draft knowledge products were produced in 2014 </w:t>
            </w:r>
            <w:r>
              <w:rPr/>
              <w:t xml:space="preserve">– </w:t>
            </w:r>
            <w:r>
              <w:rPr/>
              <w:t xml:space="preserve">one ) overview paper of the EI sector in </w:t>
            </w:r>
          </w:p>
          <w:p>
            <w:pPr>
              <w:spacing w:before="0" w:after="1" w:line="259" w:lineRule="auto"/>
              <w:ind w:left="107" w:right="0" w:firstLine="0"/>
              <w:jc w:val="left"/>
            </w:pPr>
            <w:r>
              <w:rPr/>
              <w:t xml:space="preserve">Asia</w:t>
            </w:r>
            <w:r>
              <w:rPr/>
              <w:t xml:space="preserve">-</w:t>
            </w:r>
            <w:r>
              <w:rPr/>
              <w:t xml:space="preserve">Pacific </w:t>
            </w:r>
            <w:r>
              <w:rPr/>
              <w:t xml:space="preserve"> </w:t>
            </w:r>
          </w:p>
          <w:p>
            <w:pPr>
              <w:spacing w:before="0" w:after="0" w:line="259" w:lineRule="auto"/>
              <w:ind w:left="107" w:right="0" w:firstLine="0"/>
              <w:jc w:val="left"/>
            </w:pPr>
            <w:r>
              <w:rPr/>
              <w:t xml:space="preserve">Two) mapping and gap analysis tool </w:t>
            </w:r>
            <w:r>
              <w:rPr/>
              <w:t xml:space="preserve"> </w:t>
            </w:r>
          </w:p>
          <w:p>
            <w:pPr>
              <w:spacing w:before="0" w:after="1" w:line="259" w:lineRule="auto"/>
              <w:ind w:left="107" w:right="0" w:firstLine="0"/>
              <w:jc w:val="left"/>
            </w:pPr>
            <w:r>
              <w:rPr/>
              <w:t xml:space="preserve"> </w:t>
            </w:r>
          </w:p>
          <w:p>
            <w:pPr>
              <w:spacing w:before="0" w:after="0" w:line="260" w:lineRule="auto"/>
              <w:ind w:left="107" w:right="52" w:firstLine="0"/>
              <w:jc w:val="left"/>
            </w:pPr>
            <w:r>
              <w:rPr/>
              <w:t xml:space="preserve">A regional South</w:t>
            </w:r>
            <w:r>
              <w:rPr/>
              <w:t xml:space="preserve">-</w:t>
            </w:r>
            <w:r>
              <w:rPr/>
              <w:t xml:space="preserve">South Exchange and Training meeting was held in Bangkok in October 2015. The meeting brought together over 80 UNDP staff, experts, and partners to share information on addressing multisectoral challenges of extractive sector </w:t>
            </w:r>
            <w:r>
              <w:rPr/>
              <w:t xml:space="preserve"> </w:t>
            </w:r>
          </w:p>
          <w:p>
            <w:pPr>
              <w:spacing w:before="0" w:after="0" w:line="259" w:lineRule="auto"/>
              <w:ind w:left="107" w:right="0" w:firstLine="0"/>
              <w:jc w:val="left"/>
            </w:pPr>
            <w:r>
              <w:rPr/>
              <w:t xml:space="preserve"> </w:t>
            </w:r>
          </w:p>
        </w:tc>
        <w:tc>
          <w:tcPr>
            <w:tcW w:w="829" w:type="dxa"/>
            <w:tcBorders>
              <w:top w:val="single" w:sz="17" w:color="000000"/>
              <w:left w:val="single" w:sz="4" w:color="000000"/>
              <w:bottom w:val="single" w:sz="17" w:color="000000"/>
              <w:right w:val="nil"/>
            </w:tcBorders>
            <w:shd w:val="clear" w:fill="d9e2f3"/>
            <w:vAlign w:val="top"/>
          </w:tcPr>
          <w:p>
            <w:pPr>
              <w:spacing w:before="0" w:after="1729" w:line="259" w:lineRule="auto"/>
              <w:ind w:left="469" w:right="0" w:firstLine="0"/>
              <w:jc w:val="left"/>
            </w:pPr>
            <w:r>
              <w:rPr/>
              <w:t xml:space="preserve">1.</w:t>
            </w:r>
            <w:r>
              <w:rPr>
                <w:rFonts w:cs="Arial" w:hAnsi="Arial" w:eastAsia="Arial" w:ascii="Arial"/>
              </w:rPr>
              <w:t xml:space="preserve"> </w:t>
            </w:r>
          </w:p>
          <w:p>
            <w:pPr>
              <w:spacing w:before="0" w:after="0" w:line="259" w:lineRule="auto"/>
              <w:ind w:left="469" w:right="0" w:firstLine="0"/>
              <w:jc w:val="left"/>
            </w:pPr>
            <w:r>
              <w:rPr/>
              <w:t xml:space="preserve">2.</w:t>
            </w:r>
            <w:r>
              <w:rPr>
                <w:rFonts w:cs="Arial" w:hAnsi="Arial" w:eastAsia="Arial" w:ascii="Arial"/>
              </w:rPr>
              <w:t xml:space="preserve"> </w:t>
            </w:r>
          </w:p>
        </w:tc>
        <w:tc>
          <w:tcPr>
            <w:tcW w:w="1297" w:type="dxa"/>
            <w:tcBorders>
              <w:top w:val="single" w:sz="17" w:color="000000"/>
              <w:left w:val="nil"/>
              <w:bottom w:val="single" w:sz="17" w:color="000000"/>
              <w:right w:val="single" w:sz="4" w:color="000000"/>
            </w:tcBorders>
            <w:shd w:val="clear" w:fill="d9e2f3"/>
            <w:vAlign w:val="top"/>
          </w:tcPr>
          <w:p>
            <w:pPr>
              <w:spacing w:before="0" w:after="0" w:line="277" w:lineRule="auto"/>
              <w:ind w:left="0" w:right="0" w:firstLine="0"/>
              <w:jc w:val="left"/>
            </w:pPr>
            <w:r>
              <w:rPr/>
              <w:t xml:space="preserve">Study on EI revenue sharing between central and local </w:t>
            </w:r>
            <w:r>
              <w:rPr/>
              <w:t xml:space="preserve"> </w:t>
            </w:r>
          </w:p>
          <w:p>
            <w:pPr>
              <w:spacing w:before="0" w:after="0" w:line="259" w:lineRule="auto"/>
              <w:ind w:left="0" w:right="0" w:firstLine="0"/>
              <w:jc w:val="left"/>
            </w:pPr>
            <w:r>
              <w:rPr/>
              <w:t xml:space="preserve">produced </w:t>
            </w:r>
            <w:r>
              <w:rPr/>
              <w:t xml:space="preserve"> </w:t>
            </w:r>
            <w:r>
              <w:rPr/>
              <w:t xml:space="preserve">Regional meeting on SDGs and EI organized. </w:t>
            </w:r>
            <w:r>
              <w:rPr/>
              <w:t xml:space="preserve"> </w:t>
            </w:r>
          </w:p>
        </w:tc>
      </w:tr>
    </w:tbl>
    <w:tbl>
      <w:tblPr>
        <w:tblStyle w:val="TableGrid"/>
        <w:tblW w:w="12951" w:type="dxa"/>
        <w:tblInd w:w="5" w:type="dxa"/>
        <w:tblCellMar>
          <w:top w:w="51" w:type="dxa"/>
          <w:left w:w="0" w:type="dxa"/>
          <w:bottom w:w="0" w:type="dxa"/>
          <w:right w:w="20" w:type="dxa"/>
        </w:tblCellMar>
      </w:tblPr>
      <w:tblGrid>
        <w:gridCol w:w="468"/>
        <w:gridCol w:w="2239"/>
        <w:gridCol w:w="2113"/>
        <w:gridCol w:w="2886"/>
        <w:gridCol w:w="3119"/>
        <w:gridCol w:w="2126"/>
      </w:tblGrid>
      <w:tr>
        <w:trPr>
          <w:trHeight w:val="7572" w:hRule="atLeast"/>
        </w:trPr>
        <w:tc>
          <w:tcPr>
            <w:tcW w:w="468" w:type="dxa"/>
            <w:tcBorders>
              <w:top w:val="single" w:sz="17" w:color="000000"/>
              <w:left w:val="single" w:sz="4" w:color="000000"/>
              <w:bottom w:val="single" w:sz="17" w:color="000000"/>
              <w:right w:val="nil"/>
            </w:tcBorders>
            <w:vAlign w:val="top"/>
          </w:tcPr>
          <w:p>
            <w:pPr>
              <w:spacing w:before="0" w:after="0" w:line="259" w:lineRule="auto"/>
              <w:ind w:left="108" w:right="0" w:firstLine="0"/>
              <w:jc w:val="left"/>
            </w:pPr>
            <w:r>
              <w:rPr/>
              <w:t xml:space="preserve">4.</w:t>
            </w:r>
            <w:r>
              <w:rPr>
                <w:rFonts w:cs="Arial" w:hAnsi="Arial" w:eastAsia="Arial" w:ascii="Arial"/>
              </w:rPr>
              <w:t xml:space="preserve"> </w:t>
            </w:r>
          </w:p>
        </w:tc>
        <w:tc>
          <w:tcPr>
            <w:tcW w:w="2239" w:type="dxa"/>
            <w:tcBorders>
              <w:top w:val="single" w:sz="17" w:color="000000"/>
              <w:left w:val="nil"/>
              <w:bottom w:val="single" w:sz="17" w:color="000000"/>
              <w:right w:val="single" w:sz="4" w:color="000000"/>
            </w:tcBorders>
            <w:vAlign w:val="top"/>
          </w:tcPr>
          <w:p>
            <w:pPr>
              <w:spacing w:before="0" w:after="2" w:line="239" w:lineRule="auto"/>
              <w:ind w:left="0" w:right="0" w:firstLine="0"/>
              <w:jc w:val="left"/>
            </w:pPr>
            <w:r>
              <w:rPr/>
              <w:t xml:space="preserve">APRC EI Regional Project adopted and partially </w:t>
            </w:r>
          </w:p>
          <w:p>
            <w:pPr>
              <w:spacing w:before="0" w:after="0" w:line="259" w:lineRule="auto"/>
              <w:ind w:left="0" w:right="0" w:firstLine="0"/>
              <w:jc w:val="left"/>
            </w:pPr>
            <w:r>
              <w:rPr/>
              <w:t xml:space="preserve">funded</w:t>
            </w:r>
            <w:r>
              <w:rPr/>
              <w:t xml:space="preserve"> </w:t>
            </w:r>
          </w:p>
          <w:p>
            <w:pPr>
              <w:spacing w:before="0" w:after="0" w:line="259" w:lineRule="auto"/>
              <w:ind w:left="0" w:right="0" w:firstLine="0"/>
              <w:jc w:val="left"/>
            </w:pPr>
            <w:r>
              <w:rPr/>
              <w:t xml:space="preserve"> </w:t>
            </w:r>
          </w:p>
        </w:tc>
        <w:tc>
          <w:tcPr>
            <w:tcW w:w="2113" w:type="dxa"/>
            <w:tcBorders>
              <w:top w:val="single" w:sz="17" w:color="000000"/>
              <w:left w:val="single" w:sz="4" w:color="000000"/>
              <w:bottom w:val="single" w:sz="17" w:color="000000"/>
              <w:right w:val="single" w:sz="4" w:color="000000"/>
            </w:tcBorders>
            <w:vAlign w:val="top"/>
          </w:tcPr>
          <w:p>
            <w:pPr>
              <w:numPr>
                <w:ilvl w:val="0"/>
                <w:numId w:val="8"/>
              </w:numPr>
              <w:spacing w:before="0" w:after="1" w:line="259" w:lineRule="auto"/>
              <w:ind w:left="108" w:right="134" w:firstLine="0"/>
              <w:jc w:val="left"/>
            </w:pPr>
            <w:r>
              <w:rPr/>
              <w:t xml:space="preserve">regional repository of data on EI in place</w:t>
            </w:r>
            <w:r>
              <w:rPr/>
              <w:t xml:space="preserve"> - </w:t>
            </w:r>
            <w:r>
              <w:rPr/>
              <w:t xml:space="preserve">One meeting held at </w:t>
            </w:r>
          </w:p>
          <w:p>
            <w:pPr>
              <w:spacing w:before="0" w:after="1" w:line="260" w:lineRule="auto"/>
              <w:ind w:left="108" w:right="0" w:firstLine="0"/>
              <w:jc w:val="left"/>
            </w:pPr>
            <w:r>
              <w:rPr/>
              <w:t xml:space="preserve">regional level to document and brainstorm on EI progress</w:t>
            </w:r>
            <w:r>
              <w:rPr/>
              <w:t xml:space="preserve"> </w:t>
            </w:r>
          </w:p>
          <w:p>
            <w:pPr>
              <w:spacing w:before="0" w:after="1" w:line="259" w:lineRule="auto"/>
              <w:ind w:left="108" w:right="0" w:firstLine="0"/>
              <w:jc w:val="left"/>
            </w:pPr>
            <w:r>
              <w:rPr>
                <w:rFonts w:cs="Calibri" w:hAnsi="Calibri" w:eastAsia="Calibri" w:ascii="Calibri"/>
                <w:b w:val="1"/>
              </w:rPr>
              <w:t xml:space="preserve"> </w:t>
            </w:r>
          </w:p>
          <w:p>
            <w:pPr>
              <w:spacing w:before="0" w:after="0" w:line="261" w:lineRule="auto"/>
              <w:ind w:left="108" w:right="0" w:firstLine="0"/>
              <w:jc w:val="left"/>
            </w:pPr>
            <w:r>
              <w:rPr>
                <w:rFonts w:cs="Calibri" w:hAnsi="Calibri" w:eastAsia="Calibri" w:ascii="Calibri"/>
                <w:b w:val="1"/>
              </w:rPr>
              <w:t xml:space="preserve">Targets for Year 2 </w:t>
            </w:r>
            <w:r>
              <w:rPr>
                <w:rFonts w:cs="Calibri" w:hAnsi="Calibri" w:eastAsia="Calibri" w:ascii="Calibri"/>
                <w:b w:val="1"/>
              </w:rPr>
              <w:t xml:space="preserve">(201</w:t>
            </w:r>
            <w:r>
              <w:rPr>
                <w:rFonts w:cs="Calibri" w:hAnsi="Calibri" w:eastAsia="Calibri" w:ascii="Calibri"/>
                <w:b w:val="1"/>
              </w:rPr>
              <w:t xml:space="preserve">5</w:t>
            </w:r>
            <w:r>
              <w:rPr>
                <w:rFonts w:cs="Calibri" w:hAnsi="Calibri" w:eastAsia="Calibri" w:ascii="Calibri"/>
                <w:b w:val="1"/>
              </w:rPr>
              <w:t xml:space="preserve">): </w:t>
            </w:r>
          </w:p>
          <w:p>
            <w:pPr>
              <w:numPr>
                <w:ilvl w:val="0"/>
                <w:numId w:val="8"/>
              </w:numPr>
              <w:spacing w:before="0" w:after="1" w:line="260" w:lineRule="auto"/>
              <w:ind w:left="108" w:right="134" w:firstLine="0"/>
              <w:jc w:val="left"/>
            </w:pPr>
            <w:r>
              <w:rPr/>
              <w:t xml:space="preserve">Full</w:t>
            </w:r>
            <w:r>
              <w:rPr/>
              <w:t xml:space="preserve">-</w:t>
            </w:r>
            <w:r>
              <w:rPr/>
              <w:t xml:space="preserve">fledged regional project for EI developed and resourced targeting 4 to 6 countries </w:t>
            </w:r>
            <w:r>
              <w:rPr/>
              <w:t xml:space="preserve"> - </w:t>
            </w:r>
            <w:r>
              <w:rPr/>
              <w:t xml:space="preserve">Depending on demand, up to </w:t>
            </w:r>
            <w:r>
              <w:rPr/>
              <w:t xml:space="preserve">4</w:t>
            </w:r>
            <w:r>
              <w:rPr/>
              <w:t xml:space="preserve"> </w:t>
            </w:r>
            <w:r>
              <w:rPr/>
              <w:t xml:space="preserve">countries have received support</w:t>
            </w:r>
            <w:r>
              <w:rPr/>
              <w:t xml:space="preserve"> </w:t>
            </w:r>
            <w:r>
              <w:rPr/>
              <w:t xml:space="preserve">and </w:t>
            </w:r>
          </w:p>
          <w:p>
            <w:pPr>
              <w:spacing w:before="0" w:after="1" w:line="260" w:lineRule="auto"/>
              <w:ind w:left="108" w:right="485" w:firstLine="0"/>
              <w:jc w:val="left"/>
            </w:pPr>
            <w:r>
              <w:rPr/>
              <w:t xml:space="preserve">launched country initiatives on EI</w:t>
            </w:r>
            <w:r>
              <w:rPr/>
              <w:t xml:space="preserve"> - </w:t>
            </w:r>
            <w:r>
              <w:rPr/>
              <w:t xml:space="preserve">Two regional meetings held to document and brainstorm on EI progress</w:t>
            </w:r>
            <w:r>
              <w:rPr/>
              <w:t xml:space="preserve"> </w:t>
            </w:r>
          </w:p>
          <w:p>
            <w:pPr>
              <w:spacing w:before="0" w:after="1" w:line="259" w:lineRule="auto"/>
              <w:ind w:left="108" w:right="0" w:firstLine="0"/>
              <w:jc w:val="left"/>
            </w:pPr>
            <w:r>
              <w:rPr>
                <w:rFonts w:cs="Calibri" w:hAnsi="Calibri" w:eastAsia="Calibri" w:ascii="Calibri"/>
                <w:b w:val="1"/>
              </w:rPr>
              <w:t xml:space="preserve"> </w:t>
            </w:r>
          </w:p>
          <w:p>
            <w:pPr>
              <w:spacing w:before="0" w:after="0" w:line="259" w:lineRule="auto"/>
              <w:ind w:left="108" w:right="0" w:firstLine="0"/>
              <w:jc w:val="left"/>
            </w:pPr>
            <w:r>
              <w:rPr/>
              <w:t xml:space="preserve"> </w:t>
            </w:r>
          </w:p>
        </w:tc>
        <w:tc>
          <w:tcPr>
            <w:tcW w:w="2886" w:type="dxa"/>
            <w:tcBorders>
              <w:top w:val="single" w:sz="17" w:color="000000"/>
              <w:left w:val="single" w:sz="4" w:color="000000"/>
              <w:bottom w:val="single" w:sz="17" w:color="000000"/>
              <w:right w:val="single" w:sz="4" w:color="000000"/>
            </w:tcBorders>
            <w:vAlign w:val="top"/>
          </w:tcPr>
          <w:p>
            <w:pPr>
              <w:bidi w:val="0"/>
              <w:spacing w:before="0" w:after="160" w:line="259" w:lineRule="auto"/>
              <w:ind w:left="0" w:right="0" w:firstLine="0"/>
              <w:jc w:val="left"/>
            </w:pPr>
          </w:p>
        </w:tc>
        <w:tc>
          <w:tcPr>
            <w:tcW w:w="3119" w:type="dxa"/>
            <w:tcBorders>
              <w:top w:val="single" w:sz="17" w:color="000000"/>
              <w:left w:val="single" w:sz="4" w:color="000000"/>
              <w:bottom w:val="single" w:sz="17" w:color="000000"/>
              <w:right w:val="single" w:sz="4" w:color="000000"/>
            </w:tcBorders>
            <w:shd w:val="clear" w:fill="e2efd9"/>
            <w:vAlign w:val="top"/>
          </w:tcPr>
          <w:p>
            <w:pPr>
              <w:spacing w:before="0" w:after="1" w:line="259" w:lineRule="auto"/>
              <w:ind w:left="107" w:right="0" w:firstLine="0"/>
              <w:jc w:val="left"/>
            </w:pPr>
            <w:r>
              <w:rPr/>
              <w:t xml:space="preserve">Activities are already implemented in four countries (see progress under output 1) </w:t>
            </w:r>
            <w:r>
              <w:rPr/>
              <w:t xml:space="preserve"> </w:t>
            </w:r>
          </w:p>
          <w:p>
            <w:pPr>
              <w:spacing w:before="0" w:after="1" w:line="259" w:lineRule="auto"/>
              <w:ind w:left="107" w:right="0" w:firstLine="0"/>
              <w:jc w:val="left"/>
            </w:pPr>
            <w:r>
              <w:rPr/>
              <w:t xml:space="preserve"> </w:t>
            </w:r>
          </w:p>
          <w:p>
            <w:pPr>
              <w:spacing w:before="0" w:after="1" w:line="259" w:lineRule="auto"/>
              <w:ind w:left="107" w:right="0" w:firstLine="0"/>
              <w:jc w:val="left"/>
            </w:pPr>
            <w:r>
              <w:rPr/>
              <w:t xml:space="preserve">A regional pro</w:t>
            </w:r>
            <w:r>
              <w:rPr/>
              <w:t xml:space="preserve">-</w:t>
            </w:r>
            <w:r>
              <w:rPr/>
              <w:t xml:space="preserve">doc was developed. </w:t>
            </w:r>
            <w:r>
              <w:rPr/>
              <w:t xml:space="preserve"> </w:t>
            </w:r>
          </w:p>
          <w:p>
            <w:pPr>
              <w:spacing w:before="0" w:after="0" w:line="259" w:lineRule="auto"/>
              <w:ind w:left="107" w:right="0" w:firstLine="0"/>
              <w:jc w:val="left"/>
            </w:pPr>
            <w:r>
              <w:rPr/>
              <w:t xml:space="preserve"> </w:t>
            </w:r>
          </w:p>
          <w:p>
            <w:pPr>
              <w:spacing w:before="0" w:after="0" w:line="259" w:lineRule="auto"/>
              <w:ind w:left="107" w:right="0" w:firstLine="0"/>
              <w:jc w:val="left"/>
            </w:pPr>
            <w:r>
              <w:rPr/>
              <w:t xml:space="preserve"> </w:t>
            </w:r>
          </w:p>
        </w:tc>
        <w:tc>
          <w:tcPr>
            <w:tcW w:w="2126" w:type="dxa"/>
            <w:tcBorders>
              <w:top w:val="single" w:sz="17" w:color="000000"/>
              <w:left w:val="single" w:sz="4" w:color="000000"/>
              <w:bottom w:val="single" w:sz="17" w:color="000000"/>
              <w:right w:val="single" w:sz="4" w:color="000000"/>
            </w:tcBorders>
            <w:shd w:val="clear" w:fill="d9e2f3"/>
            <w:vAlign w:val="top"/>
          </w:tcPr>
          <w:p>
            <w:pPr>
              <w:bidi w:val="0"/>
              <w:spacing w:before="0" w:after="160" w:line="259" w:lineRule="auto"/>
              <w:ind w:left="0" w:right="0" w:firstLine="0"/>
              <w:jc w:val="left"/>
            </w:pPr>
          </w:p>
        </w:tc>
      </w:tr>
    </w:tbl>
    <w:p>
      <w:pPr>
        <w:spacing w:before="0" w:after="0" w:line="259" w:lineRule="auto"/>
        <w:ind w:left="0" w:right="0" w:firstLine="0"/>
      </w:pPr>
      <w:r>
        <w:rPr>
          <w:sz w:val="22"/>
        </w:rPr>
        <w:t xml:space="preserve"> </w:t>
      </w:r>
    </w:p>
    <w:p>
      <w:pPr>
        <w:sectPr>
          <w:pgSz w:w="15840" w:h="12240" w:orient="landscape"/>
          <w:pgMar w:left="1440" w:top="1467" w:right="10469" w:bottom="1581"/>
          <w:cols/>
        </w:sectPr>
      </w:pPr>
    </w:p>
    <w:p>
      <w:pPr>
        <w:spacing w:before="0" w:after="158" w:line="259" w:lineRule="auto"/>
        <w:ind w:left="0" w:right="0" w:firstLine="0"/>
        <w:jc w:val="left"/>
      </w:pPr>
      <w:r>
        <w:rPr>
          <w:sz w:val="22"/>
        </w:rPr>
        <w:t xml:space="preserve">Table two: Expenditure report </w:t>
      </w:r>
      <w:r>
        <w:rPr>
          <w:sz w:val="22"/>
        </w:rPr>
        <w:t xml:space="preserve"> </w:t>
      </w:r>
    </w:p>
    <w:p>
      <w:pPr>
        <w:spacing w:before="0" w:after="222" w:line="259" w:lineRule="auto"/>
        <w:ind w:left="0" w:right="0" w:firstLine="0"/>
        <w:jc w:val="left"/>
      </w:pPr>
      <w:r>
        <w:rPr>
          <w:sz w:val="22"/>
        </w:rPr>
        <w:t xml:space="preserve"> </w:t>
      </w:r>
    </w:p>
    <w:p>
      <w:pPr>
        <w:spacing w:before="0" w:after="0" w:line="259" w:lineRule="auto"/>
        <w:ind w:left="0" w:right="4900" w:firstLine="0"/>
        <w:jc w:val="right"/>
      </w:pPr>
      <w:r>
        <w:rPr>
          <w:rFonts w:cs="Times New Roman" w:hAnsi="Times New Roman" w:eastAsia="Times New Roman" w:ascii="Times New Roman"/>
        </w:rPr>
        <w:t xml:space="preserve"> 	 	 </w:t>
      </w:r>
    </w:p>
    <w:tbl>
      <w:tblPr>
        <w:tblStyle w:val="TableGrid"/>
        <w:tblW w:w="6339" w:type="dxa"/>
        <w:tblInd w:w="2" w:type="dxa"/>
        <w:tblCellMar>
          <w:top w:w="44" w:type="dxa"/>
          <w:left w:w="107" w:type="dxa"/>
          <w:bottom w:w="7" w:type="dxa"/>
          <w:right w:w="57" w:type="dxa"/>
        </w:tblCellMar>
      </w:tblPr>
      <w:tblGrid>
        <w:gridCol w:w="2260"/>
        <w:gridCol w:w="2040"/>
        <w:gridCol w:w="2039"/>
      </w:tblGrid>
      <w:tr>
        <w:trPr>
          <w:trHeight w:val="814" w:hRule="atLeast"/>
        </w:trPr>
        <w:tc>
          <w:tcPr>
            <w:tcW w:w="2260" w:type="dxa"/>
            <w:tcBorders>
              <w:top w:val="single" w:sz="4" w:color="000000"/>
              <w:left w:val="single" w:sz="4" w:color="000000"/>
              <w:bottom w:val="single" w:sz="4" w:color="000000"/>
              <w:right w:val="single" w:sz="4" w:color="000000"/>
            </w:tcBorders>
            <w:shd w:val="clear" w:fill="ddebf7"/>
            <w:vAlign w:val="bottom"/>
          </w:tcPr>
          <w:p>
            <w:pPr>
              <w:spacing w:before="0" w:after="0" w:line="259" w:lineRule="auto"/>
              <w:ind w:left="0" w:right="0" w:firstLine="0"/>
              <w:jc w:val="left"/>
            </w:pPr>
            <w:r>
              <w:rPr>
                <w:rFonts w:cs="Calibri" w:hAnsi="Calibri" w:eastAsia="Calibri" w:ascii="Calibri"/>
                <w:b w:val="1"/>
                <w:sz w:val="22"/>
              </w:rPr>
              <w:t xml:space="preserve">Country </w:t>
            </w:r>
            <w:r>
              <w:rPr>
                <w:rFonts w:cs="Calibri" w:hAnsi="Calibri" w:eastAsia="Calibri" w:ascii="Calibri"/>
                <w:b w:val="1"/>
                <w:sz w:val="22"/>
              </w:rPr>
              <w:t xml:space="preserve"> </w:t>
            </w:r>
          </w:p>
        </w:tc>
        <w:tc>
          <w:tcPr>
            <w:tcW w:w="2040" w:type="dxa"/>
            <w:tcBorders>
              <w:top w:val="single" w:sz="4" w:color="000000"/>
              <w:left w:val="single" w:sz="4" w:color="000000"/>
              <w:bottom w:val="single" w:sz="4" w:color="000000"/>
              <w:right w:val="single" w:sz="4" w:color="000000"/>
            </w:tcBorders>
            <w:shd w:val="clear" w:fill="ddebf7"/>
            <w:vAlign w:val="top"/>
          </w:tcPr>
          <w:p>
            <w:pPr>
              <w:spacing w:before="0" w:after="0" w:line="259" w:lineRule="auto"/>
              <w:ind w:left="1" w:right="0" w:firstLine="0"/>
              <w:jc w:val="left"/>
            </w:pPr>
            <w:r>
              <w:rPr>
                <w:rFonts w:cs="Calibri" w:hAnsi="Calibri" w:eastAsia="Calibri" w:ascii="Calibri"/>
                <w:b w:val="1"/>
                <w:sz w:val="22"/>
              </w:rPr>
              <w:t xml:space="preserve">Expenses and commitment in </w:t>
            </w:r>
            <w:r>
              <w:rPr>
                <w:rFonts w:cs="Calibri" w:hAnsi="Calibri" w:eastAsia="Calibri" w:ascii="Calibri"/>
                <w:b w:val="1"/>
                <w:sz w:val="22"/>
              </w:rPr>
              <w:t xml:space="preserve">2015 </w:t>
            </w:r>
            <w:r>
              <w:rPr>
                <w:rFonts w:cs="Calibri" w:hAnsi="Calibri" w:eastAsia="Calibri" w:ascii="Calibri"/>
                <w:b w:val="1"/>
                <w:sz w:val="22"/>
              </w:rPr>
              <w:t xml:space="preserve"> </w:t>
            </w:r>
          </w:p>
        </w:tc>
        <w:tc>
          <w:tcPr>
            <w:tcW w:w="2039" w:type="dxa"/>
            <w:tcBorders>
              <w:top w:val="single" w:sz="4" w:color="000000"/>
              <w:left w:val="single" w:sz="4" w:color="000000"/>
              <w:bottom w:val="single" w:sz="4" w:color="000000"/>
              <w:right w:val="single" w:sz="4" w:color="000000"/>
            </w:tcBorders>
            <w:shd w:val="clear" w:fill="ddebf7"/>
            <w:vAlign w:val="top"/>
          </w:tcPr>
          <w:p>
            <w:pPr>
              <w:spacing w:before="0" w:after="0" w:line="259" w:lineRule="auto"/>
              <w:ind w:left="1" w:right="0" w:firstLine="0"/>
              <w:jc w:val="left"/>
            </w:pPr>
            <w:r>
              <w:rPr>
                <w:rFonts w:cs="Calibri" w:hAnsi="Calibri" w:eastAsia="Calibri" w:ascii="Calibri"/>
                <w:b w:val="1"/>
                <w:sz w:val="22"/>
              </w:rPr>
              <w:t xml:space="preserve">Projected Budget </w:t>
            </w:r>
            <w:r>
              <w:rPr>
                <w:rFonts w:cs="Calibri" w:hAnsi="Calibri" w:eastAsia="Calibri" w:ascii="Calibri"/>
                <w:b w:val="1"/>
                <w:sz w:val="22"/>
              </w:rPr>
              <w:t xml:space="preserve">2016 </w:t>
            </w:r>
            <w:r>
              <w:rPr>
                <w:rFonts w:cs="Calibri" w:hAnsi="Calibri" w:eastAsia="Calibri" w:ascii="Calibri"/>
                <w:b w:val="1"/>
                <w:sz w:val="22"/>
              </w:rPr>
              <w:t xml:space="preserve"> </w:t>
            </w:r>
          </w:p>
        </w:tc>
      </w:tr>
      <w:tr>
        <w:trPr>
          <w:trHeight w:val="301" w:hRule="atLeast"/>
        </w:trPr>
        <w:tc>
          <w:tcPr>
            <w:tcW w:w="226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2"/>
              </w:rPr>
              <w:t xml:space="preserve">Indonesia </w:t>
            </w:r>
            <w:r>
              <w:rPr>
                <w:sz w:val="22"/>
              </w:rPr>
              <w:t xml:space="preserve"> </w:t>
            </w:r>
          </w:p>
        </w:tc>
        <w:tc>
          <w:tcPr>
            <w:tcW w:w="204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sz w:val="22"/>
              </w:rPr>
              <w:t xml:space="preserve">69295.69</w:t>
            </w:r>
            <w:r>
              <w:rPr>
                <w:sz w:val="22"/>
              </w:rPr>
              <w:t xml:space="preserve"> </w:t>
            </w:r>
          </w:p>
        </w:tc>
        <w:tc>
          <w:tcPr>
            <w:tcW w:w="2039" w:type="dxa"/>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right"/>
            </w:pPr>
            <w:r>
              <w:rPr>
                <w:sz w:val="22"/>
              </w:rPr>
              <w:t xml:space="preserve">40,000</w:t>
            </w:r>
            <w:r>
              <w:rPr>
                <w:sz w:val="22"/>
              </w:rPr>
              <w:t xml:space="preserve"> </w:t>
            </w:r>
          </w:p>
        </w:tc>
      </w:tr>
      <w:tr>
        <w:trPr>
          <w:trHeight w:val="300" w:hRule="atLeast"/>
        </w:trPr>
        <w:tc>
          <w:tcPr>
            <w:tcW w:w="226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2"/>
              </w:rPr>
              <w:t xml:space="preserve">Mongolia </w:t>
            </w:r>
            <w:r>
              <w:rPr>
                <w:sz w:val="22"/>
              </w:rPr>
              <w:t xml:space="preserve"> </w:t>
            </w:r>
          </w:p>
        </w:tc>
        <w:tc>
          <w:tcPr>
            <w:tcW w:w="204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sz w:val="22"/>
              </w:rPr>
              <w:t xml:space="preserve">19728.25</w:t>
            </w:r>
            <w:r>
              <w:rPr>
                <w:sz w:val="22"/>
              </w:rPr>
              <w:t xml:space="preserve"> </w:t>
            </w:r>
          </w:p>
        </w:tc>
        <w:tc>
          <w:tcPr>
            <w:tcW w:w="2039" w:type="dxa"/>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right"/>
            </w:pPr>
            <w:r>
              <w:rPr>
                <w:sz w:val="22"/>
              </w:rPr>
              <w:t xml:space="preserve">45,000</w:t>
            </w:r>
            <w:r>
              <w:rPr>
                <w:sz w:val="22"/>
              </w:rPr>
              <w:t xml:space="preserve"> </w:t>
            </w:r>
          </w:p>
        </w:tc>
      </w:tr>
      <w:tr>
        <w:trPr>
          <w:trHeight w:val="300" w:hRule="atLeast"/>
        </w:trPr>
        <w:tc>
          <w:tcPr>
            <w:tcW w:w="226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2"/>
              </w:rPr>
              <w:t xml:space="preserve">Pakistan</w:t>
            </w:r>
            <w:r>
              <w:rPr>
                <w:sz w:val="22"/>
              </w:rPr>
              <w:t xml:space="preserve"> </w:t>
            </w:r>
          </w:p>
        </w:tc>
        <w:tc>
          <w:tcPr>
            <w:tcW w:w="204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sz w:val="22"/>
              </w:rPr>
              <w:t xml:space="preserve">48130.11</w:t>
            </w:r>
            <w:r>
              <w:rPr>
                <w:sz w:val="22"/>
              </w:rPr>
              <w:t xml:space="preserve"> </w:t>
            </w:r>
          </w:p>
        </w:tc>
        <w:tc>
          <w:tcPr>
            <w:tcW w:w="2039" w:type="dxa"/>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right"/>
            </w:pPr>
            <w:r>
              <w:rPr>
                <w:sz w:val="22"/>
              </w:rPr>
              <w:t xml:space="preserve">15,000</w:t>
            </w:r>
            <w:r>
              <w:rPr>
                <w:sz w:val="22"/>
              </w:rPr>
              <w:t xml:space="preserve"> </w:t>
            </w:r>
          </w:p>
        </w:tc>
      </w:tr>
      <w:tr>
        <w:trPr>
          <w:trHeight w:val="300" w:hRule="atLeast"/>
        </w:trPr>
        <w:tc>
          <w:tcPr>
            <w:tcW w:w="226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2"/>
              </w:rPr>
              <w:t xml:space="preserve">Philippines </w:t>
            </w:r>
            <w:r>
              <w:rPr>
                <w:sz w:val="22"/>
              </w:rPr>
              <w:t xml:space="preserve"> </w:t>
            </w:r>
          </w:p>
        </w:tc>
        <w:tc>
          <w:tcPr>
            <w:tcW w:w="204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sz w:val="22"/>
              </w:rPr>
              <w:t xml:space="preserve">81836.77</w:t>
            </w:r>
            <w:r>
              <w:rPr>
                <w:sz w:val="22"/>
              </w:rPr>
              <w:t xml:space="preserve"> </w:t>
            </w:r>
          </w:p>
        </w:tc>
        <w:tc>
          <w:tcPr>
            <w:tcW w:w="2039" w:type="dxa"/>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right"/>
            </w:pPr>
            <w:r>
              <w:rPr>
                <w:sz w:val="22"/>
              </w:rPr>
              <w:t xml:space="preserve">40,000</w:t>
            </w:r>
            <w:r>
              <w:rPr>
                <w:sz w:val="22"/>
              </w:rPr>
              <w:t xml:space="preserve"> </w:t>
            </w:r>
          </w:p>
        </w:tc>
      </w:tr>
      <w:tr>
        <w:trPr>
          <w:trHeight w:val="547" w:hRule="atLeast"/>
        </w:trPr>
        <w:tc>
          <w:tcPr>
            <w:tcW w:w="226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2"/>
              </w:rPr>
              <w:t xml:space="preserve">Regional (including GMS +DPC) </w:t>
            </w:r>
            <w:r>
              <w:rPr>
                <w:sz w:val="22"/>
              </w:rPr>
              <w:t xml:space="preserve"> </w:t>
            </w:r>
          </w:p>
        </w:tc>
        <w:tc>
          <w:tcPr>
            <w:tcW w:w="2040" w:type="dxa"/>
            <w:tcBorders>
              <w:top w:val="single" w:sz="4" w:color="000000"/>
              <w:left w:val="single" w:sz="4" w:color="000000"/>
              <w:bottom w:val="single" w:sz="4" w:color="000000"/>
              <w:right w:val="single" w:sz="4" w:color="000000"/>
            </w:tcBorders>
            <w:vAlign w:val="bottom"/>
          </w:tcPr>
          <w:p>
            <w:pPr>
              <w:spacing w:before="0" w:after="0" w:line="259" w:lineRule="auto"/>
              <w:ind w:left="0" w:right="49" w:firstLine="0"/>
              <w:jc w:val="right"/>
            </w:pPr>
            <w:r>
              <w:rPr>
                <w:sz w:val="22"/>
              </w:rPr>
              <w:t xml:space="preserve">69051.07</w:t>
            </w:r>
            <w:r>
              <w:rPr>
                <w:sz w:val="22"/>
              </w:rPr>
              <w:t xml:space="preserve"> </w:t>
            </w:r>
          </w:p>
        </w:tc>
        <w:tc>
          <w:tcPr>
            <w:tcW w:w="2039" w:type="dxa"/>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right"/>
            </w:pPr>
            <w:r>
              <w:rPr>
                <w:sz w:val="22"/>
              </w:rPr>
              <w:t xml:space="preserve">35,000</w:t>
            </w:r>
            <w:r>
              <w:rPr>
                <w:sz w:val="22"/>
              </w:rPr>
              <w:t xml:space="preserve"> </w:t>
            </w:r>
          </w:p>
        </w:tc>
      </w:tr>
      <w:tr>
        <w:trPr>
          <w:trHeight w:val="302" w:hRule="atLeast"/>
        </w:trPr>
        <w:tc>
          <w:tcPr>
            <w:tcW w:w="226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2"/>
              </w:rPr>
              <w:t xml:space="preserve">GMS+DPC</w:t>
            </w:r>
            <w:r>
              <w:rPr>
                <w:sz w:val="22"/>
              </w:rPr>
              <w:t xml:space="preserve"> </w:t>
            </w:r>
          </w:p>
        </w:tc>
        <w:tc>
          <w:tcPr>
            <w:tcW w:w="2040" w:type="dxa"/>
            <w:tcBorders>
              <w:top w:val="single" w:sz="4" w:color="000000"/>
              <w:left w:val="single" w:sz="4" w:color="000000"/>
              <w:bottom w:val="single" w:sz="4" w:color="000000"/>
              <w:right w:val="single" w:sz="4" w:color="000000"/>
            </w:tcBorders>
            <w:vAlign w:val="top"/>
          </w:tcPr>
          <w:p>
            <w:pPr>
              <w:spacing w:before="0" w:after="0" w:line="259" w:lineRule="auto"/>
              <w:ind w:left="0" w:right="1" w:firstLine="0"/>
              <w:jc w:val="right"/>
            </w:pPr>
            <w:r>
              <w:rPr>
                <w:sz w:val="22"/>
              </w:rPr>
              <w:t xml:space="preserve"> </w:t>
            </w:r>
          </w:p>
        </w:tc>
        <w:tc>
          <w:tcPr>
            <w:tcW w:w="2039" w:type="dxa"/>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right"/>
            </w:pPr>
            <w:r>
              <w:rPr>
                <w:sz w:val="22"/>
              </w:rPr>
              <w:t xml:space="preserve">18983.51</w:t>
            </w:r>
            <w:r>
              <w:rPr>
                <w:sz w:val="22"/>
              </w:rPr>
              <w:t xml:space="preserve"> </w:t>
            </w:r>
          </w:p>
        </w:tc>
      </w:tr>
      <w:tr>
        <w:trPr>
          <w:trHeight w:val="298" w:hRule="atLeast"/>
        </w:trPr>
        <w:tc>
          <w:tcPr>
            <w:tcW w:w="2260" w:type="dxa"/>
            <w:tcBorders>
              <w:top w:val="single" w:sz="4" w:color="000000"/>
              <w:left w:val="nil"/>
              <w:bottom w:val="nil"/>
              <w:right w:val="single" w:sz="4" w:color="000000"/>
            </w:tcBorders>
            <w:shd w:val="clear" w:fill="ddebf7"/>
            <w:vAlign w:val="top"/>
          </w:tcPr>
          <w:p>
            <w:pPr>
              <w:spacing w:before="0" w:after="0" w:line="259" w:lineRule="auto"/>
              <w:ind w:left="0" w:right="0" w:firstLine="0"/>
              <w:jc w:val="left"/>
            </w:pPr>
            <w:r>
              <w:rPr>
                <w:rFonts w:cs="Calibri" w:hAnsi="Calibri" w:eastAsia="Calibri" w:ascii="Calibri"/>
                <w:b w:val="1"/>
                <w:sz w:val="22"/>
              </w:rPr>
              <w:t xml:space="preserve">Grand Total</w:t>
            </w:r>
            <w:r>
              <w:rPr>
                <w:rFonts w:cs="Calibri" w:hAnsi="Calibri" w:eastAsia="Calibri" w:ascii="Calibri"/>
                <w:b w:val="1"/>
                <w:sz w:val="22"/>
              </w:rPr>
              <w:t xml:space="preserve"> </w:t>
            </w:r>
          </w:p>
        </w:tc>
        <w:tc>
          <w:tcPr>
            <w:tcW w:w="2040" w:type="dxa"/>
            <w:tcBorders>
              <w:top w:val="single" w:sz="4" w:color="000000"/>
              <w:left w:val="single" w:sz="4" w:color="000000"/>
              <w:bottom w:val="single" w:sz="4" w:color="000000"/>
              <w:right w:val="single" w:sz="4" w:color="000000"/>
            </w:tcBorders>
            <w:shd w:val="clear" w:fill="ddebf7"/>
            <w:vAlign w:val="top"/>
          </w:tcPr>
          <w:p>
            <w:pPr>
              <w:spacing w:before="0" w:after="0" w:line="259" w:lineRule="auto"/>
              <w:ind w:left="0" w:right="50" w:firstLine="0"/>
              <w:jc w:val="right"/>
            </w:pPr>
            <w:r>
              <w:rPr>
                <w:rFonts w:cs="Calibri" w:hAnsi="Calibri" w:eastAsia="Calibri" w:ascii="Calibri"/>
                <w:b w:val="1"/>
                <w:sz w:val="22"/>
              </w:rPr>
              <w:t xml:space="preserve">288041.89</w:t>
            </w:r>
            <w:r>
              <w:rPr>
                <w:rFonts w:cs="Calibri" w:hAnsi="Calibri" w:eastAsia="Calibri" w:ascii="Calibri"/>
                <w:b w:val="1"/>
                <w:sz w:val="22"/>
              </w:rPr>
              <w:t xml:space="preserve"> </w:t>
            </w:r>
          </w:p>
        </w:tc>
        <w:tc>
          <w:tcPr>
            <w:tcW w:w="2039" w:type="dxa"/>
            <w:tcBorders>
              <w:top w:val="single" w:sz="4" w:color="000000"/>
              <w:left w:val="single" w:sz="4" w:color="000000"/>
              <w:bottom w:val="single" w:sz="4" w:color="000000"/>
              <w:right w:val="single" w:sz="4" w:color="000000"/>
            </w:tcBorders>
            <w:shd w:val="clear" w:fill="ddebf7"/>
            <w:vAlign w:val="top"/>
          </w:tcPr>
          <w:p>
            <w:pPr>
              <w:spacing w:before="0" w:after="0" w:line="259" w:lineRule="auto"/>
              <w:ind w:left="0" w:right="49" w:firstLine="0"/>
              <w:jc w:val="right"/>
            </w:pPr>
            <w:r>
              <w:rPr>
                <w:rFonts w:cs="Calibri" w:hAnsi="Calibri" w:eastAsia="Calibri" w:ascii="Calibri"/>
                <w:b w:val="1"/>
                <w:sz w:val="22"/>
              </w:rPr>
              <w:t xml:space="preserve">193,983.51</w:t>
            </w:r>
            <w:r>
              <w:rPr>
                <w:rFonts w:cs="Calibri" w:hAnsi="Calibri" w:eastAsia="Calibri" w:ascii="Calibri"/>
                <w:b w:val="1"/>
                <w:sz w:val="22"/>
              </w:rPr>
              <w:t xml:space="preserve"> </w:t>
            </w:r>
          </w:p>
        </w:tc>
      </w:tr>
    </w:tbl>
    <w:p>
      <w:pPr>
        <w:spacing w:before="0" w:after="158" w:line="259" w:lineRule="auto"/>
        <w:ind w:left="0" w:right="0" w:firstLine="0"/>
        <w:jc w:val="left"/>
      </w:pPr>
      <w:r>
        <w:rPr>
          <w:sz w:val="22"/>
        </w:rPr>
        <w:t xml:space="preserve"> </w:t>
      </w:r>
    </w:p>
    <w:p>
      <w:pPr>
        <w:spacing w:before="0" w:after="16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sectPr>
      <w:pgSz w:w="12240" w:h="15840" w:orient="portrait"/>
      <w:pgMar w:left="1440" w:top="1440" w:right="1440" w:bottom="1440"/>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720"/>
      </w:pPr>
      <w:rPr>
        <w:rFonts w:cs="Arial" w:hAnsi="Arial" w:eastAsia="Arial" w:ascii="Arial"/>
        <w:b w:val="0"/>
        <w:i w:val="0"/>
        <w:strike w:val="0"/>
        <w:dstrike w:val="0"/>
        <w:color w:val="000000"/>
        <w:sz w:val="20"/>
        <w:szCs w:val="20"/>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0"/>
        <w:szCs w:val="20"/>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0"/>
        <w:szCs w:val="20"/>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0"/>
        <w:szCs w:val="20"/>
        <w:u w:val="none" w:color="000000"/>
        <w:bdr w:val="none"/>
        <w:shd w:val="clear"/>
        <w:vertAlign w:val="baseline"/>
      </w:rPr>
    </w:lvl>
  </w:abstractNum>
  <w:abstractNum w:abstractNumId="1">
    <w:multiLevelType w:val="hybridMultilevel"/>
    <w:lvl w:ilvl="0">
      <w:start w:val="1"/>
      <w:numFmt w:val="decimal"/>
      <w:lvlText w:val="%1."/>
      <w:pPr>
        <w:ind w:left="362"/>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2">
    <w:multiLevelType w:val="hybridMultilevel"/>
    <w:lvl w:ilvl="0">
      <w:start w:val="1"/>
      <w:numFmt w:val="bullet"/>
      <w:lvlText w:val="-"/>
      <w:pPr>
        <w:ind w:left="1"/>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3">
    <w:multiLevelType w:val="hybridMultilevel"/>
    <w:lvl w:ilvl="0">
      <w:start w:val="1"/>
      <w:numFmt w:val="decimal"/>
      <w:lvlText w:val="%1."/>
      <w:pPr>
        <w:ind w:left="361"/>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4">
    <w:multiLevelType w:val="hybridMultilevel"/>
    <w:lvl w:ilvl="0">
      <w:start w:val="1"/>
      <w:numFmt w:val="lowerLetter"/>
      <w:lvlText w:val="%1."/>
      <w:pPr>
        <w:ind w:left="0"/>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187"/>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1907"/>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627"/>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347"/>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067"/>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4787"/>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507"/>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227"/>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5">
    <w:multiLevelType w:val="hybridMultilevel"/>
    <w:lvl w:ilvl="0">
      <w:start w:val="1"/>
      <w:numFmt w:val="decimal"/>
      <w:lvlText w:val="%1."/>
      <w:pPr>
        <w:ind w:left="359"/>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6">
    <w:multiLevelType w:val="hybridMultilevel"/>
    <w:lvl w:ilvl="0">
      <w:start w:val="1"/>
      <w:numFmt w:val="decimal"/>
      <w:lvlText w:val="%1."/>
      <w:pPr>
        <w:ind w:left="468"/>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lowerLetter"/>
      <w:lvlText w:val="%2"/>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lowerRoman"/>
      <w:lvlText w:val="%3"/>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decimal"/>
      <w:lvlText w:val="%4"/>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lowerLetter"/>
      <w:lvlText w:val="%5"/>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lowerRoman"/>
      <w:lvlText w:val="%6"/>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decimal"/>
      <w:lvlText w:val="%7"/>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lowerLetter"/>
      <w:lvlText w:val="%8"/>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lowerRoman"/>
      <w:lvlText w:val="%9"/>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abstractNum w:abstractNumId="7">
    <w:multiLevelType w:val="hybridMultilevel"/>
    <w:lvl w:ilvl="0">
      <w:start w:val="1"/>
      <w:numFmt w:val="bullet"/>
      <w:lvlText w:val="-"/>
      <w:pPr>
        <w:ind w:left="108"/>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11" w:line="249" w:lineRule="auto"/>
      <w:ind w:left="10" w:right="5" w:hanging="10"/>
      <w:jc w:val="both"/>
    </w:pPr>
    <w:rPr>
      <w:rFonts w:cs="Calibri" w:hAnsi="Calibri" w:eastAsia="Calibri" w:ascii="Calibri"/>
      <w:color w:val="000000"/>
      <w:sz w:val="20"/>
    </w:rPr>
  </w:style>
  <w:style w:type="paragraph" w:styleId="heading1">
    <w:name w:val="Heading 1"/>
    <w:next w:val="normal"/>
    <w:link w:val="heading1Char"/>
    <w:uiPriority w:val="9"/>
    <w:unhideWhenUsed/>
    <w:qFormat/>
    <w:pPr>
      <w:keepNext/>
      <w:keepLines/>
      <w:bidi w:val="0"/>
      <w:spacing w:before="0" w:after="585" w:line="259" w:lineRule="auto"/>
      <w:ind w:left="0" w:right="0" w:firstLine="0"/>
      <w:jc w:val="left"/>
      <w:outlineLvl w:val="0"/>
    </w:pPr>
    <w:rPr>
      <w:rFonts w:cs="Calibri" w:hAnsi="Calibri" w:eastAsia="Calibri" w:ascii="Calibri"/>
      <w:b w:val="1"/>
      <w:color w:val="000000"/>
      <w:sz w:val="24"/>
    </w:rPr>
  </w:style>
  <w:style w:type="character" w:styleId="heading1Char">
    <w:name w:val="Heading 1 Char"/>
    <w:link w:val="heading1"/>
    <w:rPr>
      <w:rFonts w:cs="Calibri" w:hAnsi="Calibri" w:eastAsia="Calibri" w:ascii="Calibri"/>
      <w:b w:val="1"/>
      <w:color w:val="000000"/>
      <w:sz w:val="24"/>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5" Type="http://schemas.openxmlformats.org/officeDocument/2006/relationships/customXml" Target="../customXml/item5.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2016-05-27T15:00:00+00:00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1250</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BRC</TermName>
          <TermId xmlns="http://schemas.microsoft.com/office/infopath/2007/PartnerControls">90ee10c7-cffd-476a-b6e8-aff4adbcbc89</TermId>
        </TermInfo>
      </Terms>
    </gc6531b704974d528487414686b72f6f>
    <_dlc_DocId xmlns="f1161f5b-24a3-4c2d-bc81-44cb9325e8ee">ATLASPDC-4-48901</_dlc_DocId>
    <_dlc_DocIdUrl xmlns="f1161f5b-24a3-4c2d-bc81-44cb9325e8ee">
      <Url>https://info.undp.org/docs/pdc/_layouts/DocIdRedir.aspx?ID=ATLASPDC-4-48901</Url>
      <Description>ATLASPDC-4-48901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2481D54-208D-4C4F-A54D-8A30C08311B4}"/>
</file>

<file path=customXml/itemProps2.xml><?xml version="1.0" encoding="utf-8"?>
<ds:datastoreItem xmlns:ds="http://schemas.openxmlformats.org/officeDocument/2006/customXml" ds:itemID="{BEBBA3F3-3780-4CFE-B8B1-5FF3BB0BE493}"/>
</file>

<file path=customXml/itemProps3.xml><?xml version="1.0" encoding="utf-8"?>
<ds:datastoreItem xmlns:ds="http://schemas.openxmlformats.org/officeDocument/2006/customXml" ds:itemID="{57C1A744-F411-492F-BE8E-AA8C270CFEE7}"/>
</file>

<file path=customXml/itemProps4.xml><?xml version="1.0" encoding="utf-8"?>
<ds:datastoreItem xmlns:ds="http://schemas.openxmlformats.org/officeDocument/2006/customXml" ds:itemID="{640EFDBF-6C80-4DF0-A6D8-44F359ACA64C}"/>
</file>

<file path=customXml/itemProps5.xml><?xml version="1.0" encoding="utf-8"?>
<ds:datastoreItem xmlns:ds="http://schemas.openxmlformats.org/officeDocument/2006/customXml" ds:itemID="{74C9681C-B5FB-45D5-956D-4E56F66ED3F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Paavani Reddy</dc:creator>
  <cp:keywords/>
  <dcterms:created xsi:type="dcterms:W3CDTF">2016-05-27T15:22:53Z</dcterms:created>
  <dcterms:modified xsi:type="dcterms:W3CDTF">2016-05-27T15:22:53Z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1250;#BRC|90ee10c7-cffd-476a-b6e8-aff4adbcbc89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f9391455-d616-439b-b3a5-dc7a6f342e96</vt:lpwstr>
  </property>
  <property fmtid="{D5CDD505-2E9C-101B-9397-08002B2CF9AE}" pid="18" name="URL">
    <vt:lpwstr/>
  </property>
  <property fmtid="{D5CDD505-2E9C-101B-9397-08002B2CF9AE}" pid="19" name="DocumentSetDescription">
    <vt:lpwstr/>
  </property>
</Properties>
</file>